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 xml:space="preserve">10bis-e                                 </w:t>
      </w:r>
      <w:r>
        <w:rPr>
          <w:b/>
          <w:bCs/>
          <w:sz w:val="24"/>
          <w:szCs w:val="18"/>
        </w:rPr>
        <w:t>R1-2209196</w:t>
      </w:r>
      <w:r>
        <w:rPr>
          <w:b/>
          <w:sz w:val="22"/>
          <w:szCs w:val="22"/>
        </w:rPr>
        <w:t xml:space="preserve"> </w:t>
      </w:r>
    </w:p>
    <w:p>
      <w:pPr>
        <w:tabs>
          <w:tab w:val="center" w:pos="4536"/>
          <w:tab w:val="right" w:pos="9639"/>
        </w:tabs>
        <w:spacing w:before="120" w:after="120"/>
        <w:ind w:right="2"/>
        <w:rPr>
          <w:b/>
          <w:bCs/>
          <w:sz w:val="24"/>
          <w:szCs w:val="18"/>
        </w:rPr>
      </w:pPr>
      <w:r>
        <w:rPr>
          <w:b/>
          <w:bCs/>
          <w:sz w:val="24"/>
          <w:szCs w:val="18"/>
          <w:lang w:eastAsia="ja-JP"/>
        </w:rPr>
        <w:t>e-Meeting, October 10</w:t>
      </w:r>
      <w:r>
        <w:rPr>
          <w:rFonts w:hint="eastAsia"/>
          <w:b/>
          <w:bCs/>
          <w:sz w:val="24"/>
          <w:szCs w:val="18"/>
          <w:vertAlign w:val="superscript"/>
          <w:lang w:eastAsia="ko-KR"/>
        </w:rPr>
        <w:t>th</w:t>
      </w:r>
      <w:r>
        <w:rPr>
          <w:b/>
          <w:bCs/>
          <w:sz w:val="24"/>
          <w:szCs w:val="18"/>
          <w:lang w:eastAsia="ja-JP"/>
        </w:rPr>
        <w:t xml:space="preserve"> – 19</w:t>
      </w:r>
      <w:r>
        <w:rPr>
          <w:b/>
          <w:bCs/>
          <w:sz w:val="24"/>
          <w:szCs w:val="18"/>
          <w:vertAlign w:val="superscript"/>
          <w:lang w:eastAsia="ja-JP"/>
        </w:rPr>
        <w:t>th</w:t>
      </w:r>
      <w:r>
        <w:rPr>
          <w:b/>
          <w:bCs/>
          <w:sz w:val="24"/>
          <w:szCs w:val="18"/>
          <w:lang w:eastAsia="ja-JP"/>
        </w:rPr>
        <w:t>, 2022</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rFonts w:hint="eastAsia"/>
          <w:b/>
          <w:sz w:val="22"/>
          <w:szCs w:val="22"/>
        </w:rPr>
        <w:t xml:space="preserve">Discussion on NW energy saving techniques </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 xml:space="preserve">Source: </w:t>
      </w:r>
      <w:r>
        <w:rPr>
          <w:b/>
          <w:sz w:val="22"/>
          <w:szCs w:val="22"/>
        </w:rPr>
        <w:tab/>
      </w:r>
      <w:r>
        <w:rPr>
          <w:b/>
          <w:sz w:val="22"/>
          <w:szCs w:val="22"/>
        </w:rPr>
        <w:t>ZTE, Sanechips</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pPr>
        <w:pStyle w:val="11"/>
        <w:widowControl w:val="0"/>
        <w:pBdr>
          <w:bottom w:val="none" w:color="auto" w:sz="0" w:space="0"/>
        </w:pBdr>
        <w:tabs>
          <w:tab w:val="left" w:pos="1800"/>
          <w:tab w:val="clear" w:pos="4153"/>
          <w:tab w:val="clear" w:pos="8306"/>
        </w:tabs>
        <w:snapToGrid/>
        <w:spacing w:before="120" w:after="120" w:line="260" w:lineRule="auto"/>
        <w:jc w:val="both"/>
        <w:rPr>
          <w:b/>
          <w:sz w:val="22"/>
          <w:szCs w:val="22"/>
          <w:lang w:val="pt-BR"/>
        </w:rPr>
      </w:pPr>
      <w:r>
        <w:rPr>
          <w:b/>
          <w:sz w:val="22"/>
          <w:szCs w:val="22"/>
        </w:rPr>
        <w:t>Document for:</w:t>
      </w:r>
      <w:r>
        <w:rPr>
          <w:b/>
          <w:sz w:val="22"/>
          <w:szCs w:val="22"/>
        </w:rPr>
        <w:tab/>
      </w:r>
      <w:r>
        <w:rPr>
          <w:b/>
          <w:sz w:val="22"/>
          <w:szCs w:val="22"/>
        </w:rPr>
        <w:t>Discussion and Decision</w:t>
      </w:r>
    </w:p>
    <w:p>
      <w:pPr>
        <w:pStyle w:val="2"/>
        <w:numPr>
          <w:ilvl w:val="0"/>
          <w:numId w:val="8"/>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line="256" w:lineRule="auto"/>
      </w:pPr>
      <w:r>
        <w:rPr>
          <w:lang w:bidi="ar"/>
        </w:rPr>
        <w:t>In 3GPP RAN</w:t>
      </w:r>
      <w:r>
        <w:rPr>
          <w:rFonts w:hint="eastAsia"/>
          <w:lang w:bidi="ar"/>
        </w:rPr>
        <w:t>1</w:t>
      </w:r>
      <w:r>
        <w:rPr>
          <w:lang w:bidi="ar"/>
        </w:rPr>
        <w:t>#</w:t>
      </w:r>
      <w:r>
        <w:rPr>
          <w:rFonts w:hint="eastAsia"/>
          <w:lang w:bidi="ar"/>
        </w:rPr>
        <w:t>109-e</w:t>
      </w:r>
      <w:r>
        <w:rPr>
          <w:lang w:bidi="ar"/>
        </w:rPr>
        <w:t xml:space="preserve"> meeting, the </w:t>
      </w:r>
      <w:r>
        <w:rPr>
          <w:rFonts w:hint="eastAsia"/>
          <w:lang w:bidi="ar"/>
        </w:rPr>
        <w:t>agreements about</w:t>
      </w:r>
      <w:r>
        <w:rPr>
          <w:lang w:bidi="ar"/>
        </w:rPr>
        <w:t xml:space="preserve"> network energy saving </w:t>
      </w:r>
      <w:r>
        <w:rPr>
          <w:rFonts w:hint="eastAsia"/>
          <w:lang w:bidi="ar"/>
        </w:rPr>
        <w:t>techniques</w:t>
      </w:r>
      <w:r>
        <w:rPr>
          <w:lang w:bidi="ar"/>
        </w:rPr>
        <w:t xml:space="preserve"> w</w:t>
      </w:r>
      <w:r>
        <w:rPr>
          <w:rFonts w:hint="eastAsia"/>
          <w:lang w:bidi="ar"/>
        </w:rPr>
        <w:t>ere</w:t>
      </w:r>
      <w:r>
        <w:rPr>
          <w:lang w:bidi="ar"/>
        </w:rPr>
        <w:t xml:space="preserve"> </w:t>
      </w:r>
      <w:r>
        <w:rPr>
          <w:rFonts w:hint="eastAsia"/>
          <w:lang w:bidi="ar"/>
        </w:rPr>
        <w:t>achieve</w:t>
      </w:r>
      <w:r>
        <w:rPr>
          <w:lang w:bidi="ar"/>
        </w:rPr>
        <w:t xml:space="preserve">d </w:t>
      </w:r>
      <w:r>
        <w:rPr>
          <w:rFonts w:hint="eastAsia"/>
          <w:lang w:bidi="ar"/>
        </w:rPr>
        <w:t>in</w:t>
      </w:r>
      <w:r>
        <w:rPr>
          <w:lang w:bidi="ar"/>
        </w:rPr>
        <w:t xml:space="preserve"> [1].</w:t>
      </w:r>
    </w:p>
    <w:p>
      <w:pPr>
        <w:spacing w:before="120" w:after="120"/>
        <w:rPr>
          <w:szCs w:val="21"/>
          <w:lang w:bidi="ar"/>
        </w:rPr>
      </w:pPr>
      <w:r>
        <w:rPr>
          <w:rFonts w:hint="eastAsia"/>
          <w:szCs w:val="21"/>
          <w:lang w:bidi="ar"/>
        </w:rPr>
        <w:t>In RAN1#110 meeting, the NW energy saving techniques were further discussed and summarized in [2], which can be considered as a starting point based on the following conclusion</w:t>
      </w:r>
      <w:r>
        <w:rPr>
          <w:rFonts w:eastAsia="Malgun Gothic"/>
          <w:lang w:eastAsia="ko-KR"/>
        </w:rPr>
        <w:t>.</w:t>
      </w:r>
      <w:r>
        <w:rPr>
          <w:rFonts w:hint="eastAsia"/>
          <w:szCs w:val="21"/>
          <w:lang w:bidi="ar"/>
        </w:rPr>
        <w:t xml:space="preserve">   </w:t>
      </w:r>
    </w:p>
    <w:tbl>
      <w:tblPr>
        <w:tblStyle w:val="17"/>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pPr>
              <w:spacing w:before="120" w:after="120"/>
              <w:rPr>
                <w:u w:val="single"/>
              </w:rPr>
            </w:pPr>
            <w:r>
              <w:rPr>
                <w:u w:val="single"/>
              </w:rPr>
              <w:t>For future meetings:</w:t>
            </w:r>
          </w:p>
          <w:p>
            <w:pPr>
              <w:numPr>
                <w:ilvl w:val="0"/>
                <w:numId w:val="9"/>
              </w:numPr>
              <w:suppressAutoHyphens/>
              <w:spacing w:before="120" w:after="120" w:line="252" w:lineRule="auto"/>
              <w:rPr>
                <w:rFonts w:eastAsia="Malgun Gothic"/>
                <w:lang w:eastAsia="ko-KR"/>
              </w:rPr>
            </w:pPr>
            <w:r>
              <w:rPr>
                <w:rFonts w:eastAsia="Malgun Gothic"/>
                <w:lang w:eastAsia="ko-KR"/>
              </w:rPr>
              <w:t xml:space="preserve">Companies are encouraged to review the summary of description of potential techniques of the moderator summary in Section 3 of </w:t>
            </w:r>
            <w:r>
              <w:fldChar w:fldCharType="begin"/>
            </w:r>
            <w:r>
              <w:instrText xml:space="preserve"> HYPERLINK "file:///D:\\3GPP\\NW%20EnS\\Docs\\R1-2208185.zip" </w:instrText>
            </w:r>
            <w:r>
              <w:fldChar w:fldCharType="separate"/>
            </w:r>
            <w:r>
              <w:rPr>
                <w:rStyle w:val="22"/>
                <w:rFonts w:eastAsia="Malgun Gothic"/>
                <w:lang w:eastAsia="ko-KR"/>
              </w:rPr>
              <w:t>R1-2208185</w:t>
            </w:r>
            <w:r>
              <w:rPr>
                <w:rStyle w:val="22"/>
                <w:rFonts w:eastAsia="Malgun Gothic"/>
                <w:lang w:eastAsia="ko-KR"/>
              </w:rPr>
              <w:fldChar w:fldCharType="end"/>
            </w:r>
            <w:r>
              <w:rPr>
                <w:rFonts w:eastAsia="Malgun Gothic"/>
                <w:lang w:eastAsia="ko-KR"/>
              </w:rPr>
              <w:t>. It should be noted that the description of the techniques are a draft and additional updates and modification of the description are expected.</w:t>
            </w:r>
          </w:p>
          <w:p>
            <w:pPr>
              <w:numPr>
                <w:ilvl w:val="0"/>
                <w:numId w:val="9"/>
              </w:numPr>
              <w:suppressAutoHyphens/>
              <w:spacing w:before="120" w:after="120" w:line="252" w:lineRule="auto"/>
              <w:rPr>
                <w:szCs w:val="21"/>
                <w:lang w:bidi="ar"/>
              </w:rPr>
            </w:pPr>
            <w:r>
              <w:rPr>
                <w:rFonts w:eastAsia="Malgun Gothic"/>
                <w:lang w:eastAsia="ko-KR"/>
              </w:rPr>
              <w:t>Based on the summary, companies are encouraged to work further to formulate description of potential network energy techniques to be eventually captured into the SI TR.</w:t>
            </w:r>
          </w:p>
        </w:tc>
      </w:tr>
    </w:tbl>
    <w:p>
      <w:pPr>
        <w:spacing w:before="120" w:after="120"/>
        <w:rPr>
          <w:szCs w:val="21"/>
          <w:lang w:bidi="ar"/>
        </w:rPr>
      </w:pPr>
    </w:p>
    <w:p>
      <w:pPr>
        <w:spacing w:before="120" w:after="120"/>
        <w:rPr>
          <w:szCs w:val="21"/>
        </w:rPr>
      </w:pPr>
      <w:r>
        <w:rPr>
          <w:szCs w:val="21"/>
          <w:lang w:bidi="ar"/>
        </w:rPr>
        <w:t xml:space="preserve">In this contribution, the techniques of network energy saving in time/frequency, spatial, power domain are </w:t>
      </w:r>
      <w:r>
        <w:rPr>
          <w:rFonts w:hint="eastAsia"/>
          <w:szCs w:val="21"/>
          <w:lang w:bidi="ar"/>
        </w:rPr>
        <w:t xml:space="preserve">further </w:t>
      </w:r>
      <w:r>
        <w:rPr>
          <w:szCs w:val="21"/>
          <w:lang w:bidi="ar"/>
        </w:rPr>
        <w:t>discussed, and our considerations about UE assistance information are provided.</w:t>
      </w:r>
    </w:p>
    <w:p>
      <w:pPr>
        <w:spacing w:before="120" w:after="120"/>
        <w:rPr>
          <w:sz w:val="20"/>
        </w:rPr>
      </w:pPr>
    </w:p>
    <w:p>
      <w:pPr>
        <w:pStyle w:val="2"/>
        <w:numPr>
          <w:ilvl w:val="0"/>
          <w:numId w:val="8"/>
        </w:numPr>
        <w:spacing w:before="120" w:after="120"/>
        <w:rPr>
          <w:szCs w:val="22"/>
        </w:rPr>
      </w:pPr>
      <w:r>
        <w:rPr>
          <w:rFonts w:hint="eastAsia" w:ascii="Times New Roman" w:hAnsi="Times New Roman" w:eastAsia="宋体"/>
          <w:b/>
          <w:sz w:val="28"/>
          <w:szCs w:val="28"/>
        </w:rPr>
        <w:t>General view</w:t>
      </w:r>
      <w:r>
        <w:rPr>
          <w:rFonts w:ascii="Times New Roman" w:hAnsi="Times New Roman" w:eastAsia="宋体"/>
          <w:b/>
          <w:sz w:val="28"/>
          <w:szCs w:val="28"/>
        </w:rPr>
        <w:t>s</w:t>
      </w:r>
    </w:p>
    <w:p>
      <w:pPr>
        <w:spacing w:before="120" w:after="120"/>
        <w:rPr>
          <w:lang w:bidi="ar"/>
        </w:rPr>
      </w:pPr>
      <w:r>
        <w:rPr>
          <w:rFonts w:hint="eastAsia"/>
        </w:rPr>
        <w:t xml:space="preserve">In previous meetings, the TR </w:t>
      </w:r>
      <w:r>
        <w:t>skeleton</w:t>
      </w:r>
      <w:r>
        <w:rPr>
          <w:rFonts w:hint="eastAsia"/>
        </w:rPr>
        <w:t xml:space="preserve"> was agreed in [</w:t>
      </w:r>
      <w:r>
        <w:t>3</w:t>
      </w:r>
      <w:r>
        <w:rPr>
          <w:rFonts w:hint="eastAsia"/>
        </w:rPr>
        <w:t xml:space="preserve">] and the network energy saving techniques were extensively discussed. </w:t>
      </w:r>
      <w:r>
        <w:t>For each potential network energy saving technique, their technique description, performance analysis including energy saving gain, impact on UPT and other KPIs, and specification impact should be captured into the TR</w:t>
      </w:r>
      <w:r>
        <w:rPr>
          <w:rFonts w:hint="eastAsia"/>
        </w:rPr>
        <w:t xml:space="preserve">. </w:t>
      </w:r>
    </w:p>
    <w:p>
      <w:pPr>
        <w:pStyle w:val="29"/>
        <w:spacing w:before="120" w:after="120"/>
      </w:pPr>
      <w:bookmarkStart w:id="1" w:name="_Toc18109"/>
      <w:bookmarkStart w:id="2" w:name="_Toc19695"/>
      <w:bookmarkStart w:id="3" w:name="_Toc19992"/>
      <w:bookmarkStart w:id="4" w:name="_Toc12253"/>
      <w:r>
        <w:rPr>
          <w:rFonts w:hint="eastAsia"/>
          <w:lang w:val="en-US" w:eastAsia="zh-CN"/>
        </w:rPr>
        <w:t xml:space="preserve">For each </w:t>
      </w:r>
      <w:r>
        <w:rPr>
          <w:lang w:val="en-US" w:eastAsia="zh-CN"/>
        </w:rPr>
        <w:t xml:space="preserve">potential </w:t>
      </w:r>
      <w:r>
        <w:rPr>
          <w:rFonts w:hint="eastAsia"/>
          <w:lang w:val="en-US" w:eastAsia="zh-CN"/>
        </w:rPr>
        <w:t xml:space="preserve">network energy saving technique, </w:t>
      </w:r>
      <w:r>
        <w:rPr>
          <w:lang w:val="en-US" w:eastAsia="zh-CN"/>
        </w:rPr>
        <w:t>their</w:t>
      </w:r>
      <w:r>
        <w:rPr>
          <w:rFonts w:hint="eastAsia"/>
          <w:lang w:val="en-US" w:eastAsia="zh-CN"/>
        </w:rPr>
        <w:t xml:space="preserve"> technique description, performance analysis including </w:t>
      </w:r>
      <w:r>
        <w:rPr>
          <w:lang w:val="en-US" w:eastAsia="zh-CN"/>
        </w:rPr>
        <w:t>energy</w:t>
      </w:r>
      <w:r>
        <w:rPr>
          <w:rFonts w:hint="eastAsia"/>
          <w:lang w:val="en-US" w:eastAsia="zh-CN"/>
        </w:rPr>
        <w:t xml:space="preserve"> saving gain, impact on UPT and other KPIs, and specification impact should be captured in</w:t>
      </w:r>
      <w:r>
        <w:rPr>
          <w:lang w:val="en-US" w:eastAsia="zh-CN"/>
        </w:rPr>
        <w:t>to the</w:t>
      </w:r>
      <w:r>
        <w:rPr>
          <w:rFonts w:hint="eastAsia"/>
          <w:lang w:val="en-US" w:eastAsia="zh-CN"/>
        </w:rPr>
        <w:t xml:space="preserve"> TR.</w:t>
      </w:r>
      <w:bookmarkEnd w:id="1"/>
      <w:bookmarkEnd w:id="2"/>
      <w:bookmarkEnd w:id="3"/>
      <w:bookmarkEnd w:id="4"/>
    </w:p>
    <w:p>
      <w:pPr>
        <w:spacing w:before="120" w:after="120"/>
        <w:rPr>
          <w:lang w:bidi="ar"/>
        </w:rPr>
      </w:pPr>
    </w:p>
    <w:p>
      <w:pPr>
        <w:pStyle w:val="2"/>
        <w:numPr>
          <w:ilvl w:val="0"/>
          <w:numId w:val="8"/>
        </w:numPr>
        <w:spacing w:before="120" w:after="120"/>
        <w:rPr>
          <w:rFonts w:ascii="Times New Roman" w:hAnsi="Times New Roman"/>
          <w:b/>
          <w:bCs/>
          <w:sz w:val="28"/>
          <w:szCs w:val="28"/>
        </w:rPr>
      </w:pPr>
      <w:r>
        <w:rPr>
          <w:rFonts w:ascii="Times New Roman" w:hAnsi="Times New Roman"/>
          <w:b/>
          <w:bCs/>
          <w:sz w:val="28"/>
          <w:szCs w:val="28"/>
        </w:rPr>
        <w:t>Network energy saving techniques</w:t>
      </w:r>
    </w:p>
    <w:p>
      <w:pPr>
        <w:spacing w:before="120" w:after="120"/>
        <w:rPr>
          <w:szCs w:val="21"/>
        </w:rPr>
      </w:pPr>
      <w:r>
        <w:rPr>
          <w:szCs w:val="21"/>
        </w:rPr>
        <w:t>The network energy saving techniques can be classified from</w:t>
      </w:r>
      <w:r>
        <w:rPr>
          <w:rFonts w:hint="eastAsia"/>
          <w:szCs w:val="21"/>
        </w:rPr>
        <w:t xml:space="preserve"> multiple domains</w:t>
      </w:r>
      <w:r>
        <w:rPr>
          <w:szCs w:val="21"/>
        </w:rPr>
        <w:t xml:space="preserve"> aspects</w:t>
      </w:r>
      <w:r>
        <w:rPr>
          <w:rFonts w:hint="eastAsia"/>
          <w:szCs w:val="21"/>
        </w:rPr>
        <w:t>. In this section, the techniques in different domains are discussed.</w:t>
      </w: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time domain</w:t>
      </w:r>
    </w:p>
    <w:p>
      <w:pPr>
        <w:spacing w:before="120" w:after="120" w:line="260" w:lineRule="auto"/>
        <w:rPr>
          <w:szCs w:val="21"/>
        </w:rPr>
      </w:pPr>
      <w:r>
        <w:rPr>
          <w:rFonts w:hint="eastAsia"/>
          <w:szCs w:val="21"/>
        </w:rPr>
        <w:t>N</w:t>
      </w:r>
      <w:r>
        <w:rPr>
          <w:szCs w:val="21"/>
        </w:rPr>
        <w:t>etwork can deactivate some components (e.g. cell, carrier, band) for energy saving. However, the semi-static activation/de-activation mechanism may cause a large delay and affect the user experience. To resolve this issue, a dynamic time domain on-off operation should be considered. Given the current specification, the chance of on-off operation is mainly determined by the periodic DL common signal/channel (e.g. SSB, SIB).</w:t>
      </w:r>
    </w:p>
    <w:p>
      <w:pPr>
        <w:spacing w:before="120" w:after="120" w:line="260" w:lineRule="auto"/>
        <w:rPr>
          <w:szCs w:val="21"/>
        </w:rPr>
      </w:pPr>
      <w:r>
        <w:rPr>
          <w:szCs w:val="21"/>
        </w:rPr>
        <w:t xml:space="preserve">To be more specific, the periodicity of SSB transmission is assumed to be 20ms by default, while the periodicity of SIB1 can be sparser according to TS38.331. The dense transmission of the DL common signal/channel reduces network sleep opportunity and increases network power consumption, especially in the case of empty/low load. In order to achieve the network energy saving, DL common signal/channel reduction should be taken into consideration. </w:t>
      </w:r>
      <w:bookmarkStart w:id="5" w:name="_Toc102067902"/>
      <w:r>
        <w:rPr>
          <w:rFonts w:hint="eastAsia"/>
          <w:szCs w:val="21"/>
        </w:rPr>
        <w:fldChar w:fldCharType="begin"/>
      </w:r>
      <w:r>
        <w:rPr>
          <w:szCs w:val="21"/>
        </w:rPr>
        <w:instrText xml:space="preserve"> REF _Ref10030 \h  \* MERGEFORMAT </w:instrText>
      </w:r>
      <w:r>
        <w:rPr>
          <w:rFonts w:hint="eastAsia"/>
          <w:szCs w:val="21"/>
        </w:rPr>
        <w:fldChar w:fldCharType="separate"/>
      </w:r>
      <w:r>
        <w:rPr>
          <w:szCs w:val="21"/>
        </w:rPr>
        <w:t xml:space="preserve">Figure </w:t>
      </w:r>
      <w:r>
        <w:rPr>
          <w:rFonts w:hint="eastAsia"/>
          <w:szCs w:val="21"/>
        </w:rPr>
        <w:fldChar w:fldCharType="end"/>
      </w:r>
      <w:r>
        <w:rPr>
          <w:szCs w:val="21"/>
        </w:rPr>
        <w:t xml:space="preserve">1 shows </w:t>
      </w:r>
      <w:r>
        <w:rPr>
          <w:rFonts w:hint="eastAsia"/>
          <w:szCs w:val="21"/>
        </w:rPr>
        <w:t xml:space="preserve">an example </w:t>
      </w:r>
      <w:r>
        <w:rPr>
          <w:szCs w:val="21"/>
        </w:rPr>
        <w:t>when there are less UEs in a cell and the traffic load is low, the SSB/SIB transmission can be relaxed</w:t>
      </w:r>
      <w:r>
        <w:rPr>
          <w:rFonts w:hint="eastAsia"/>
          <w:szCs w:val="21"/>
        </w:rPr>
        <w:t xml:space="preserve"> for single </w:t>
      </w:r>
      <w:r>
        <w:rPr>
          <w:szCs w:val="21"/>
        </w:rPr>
        <w:t>cell operation. To exploit more power saving benefits from SIB relaxation, SIB-less cell can be considered.</w:t>
      </w:r>
    </w:p>
    <w:p>
      <w:pPr>
        <w:spacing w:before="120" w:after="120" w:line="260" w:lineRule="auto"/>
        <w:jc w:val="center"/>
        <w:rPr>
          <w:szCs w:val="21"/>
        </w:rPr>
      </w:pPr>
      <w:bookmarkStart w:id="6" w:name="_Toc81574484"/>
      <w:bookmarkEnd w:id="6"/>
      <w:r>
        <w:drawing>
          <wp:inline distT="0" distB="0" distL="114300" distR="114300">
            <wp:extent cx="5760085" cy="1051560"/>
            <wp:effectExtent l="0" t="0" r="635"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0"/>
                    <a:stretch>
                      <a:fillRect/>
                    </a:stretch>
                  </pic:blipFill>
                  <pic:spPr>
                    <a:xfrm>
                      <a:off x="0" y="0"/>
                      <a:ext cx="5760085" cy="1051560"/>
                    </a:xfrm>
                    <a:prstGeom prst="rect">
                      <a:avLst/>
                    </a:prstGeom>
                    <a:noFill/>
                    <a:ln>
                      <a:noFill/>
                    </a:ln>
                  </pic:spPr>
                </pic:pic>
              </a:graphicData>
            </a:graphic>
          </wp:inline>
        </w:drawing>
      </w:r>
    </w:p>
    <w:p>
      <w:pPr>
        <w:spacing w:before="120" w:after="120"/>
        <w:jc w:val="center"/>
        <w:rPr>
          <w:szCs w:val="21"/>
        </w:rPr>
      </w:pPr>
      <w:bookmarkStart w:id="7" w:name="_Ref10030"/>
      <w:r>
        <w:rPr>
          <w:szCs w:val="21"/>
        </w:rPr>
        <w:t xml:space="preserve">Figure </w:t>
      </w:r>
      <w:bookmarkEnd w:id="7"/>
      <w:r>
        <w:rPr>
          <w:szCs w:val="21"/>
        </w:rPr>
        <w:t>1 SSB/SIB reduction in serving cell</w:t>
      </w:r>
    </w:p>
    <w:p>
      <w:pPr>
        <w:spacing w:before="120" w:after="120"/>
      </w:pPr>
      <w:r>
        <w:rPr>
          <w:szCs w:val="21"/>
        </w:rPr>
        <w:t>According to the simulation assumptions in [4], the simulation results with SSB-less and SIB-less for TDD and FDD are provided in Figure 2</w:t>
      </w:r>
      <w:bookmarkStart w:id="280" w:name="_GoBack"/>
      <w:bookmarkEnd w:id="280"/>
      <w:r>
        <w:rPr>
          <w:szCs w:val="21"/>
        </w:rPr>
        <w:t>.</w:t>
      </w:r>
      <w:r>
        <w:t xml:space="preserve"> As shown in </w:t>
      </w:r>
      <w:r>
        <w:rPr>
          <w:szCs w:val="21"/>
        </w:rPr>
        <w:t>Figure 2, the SSB-less and SIB-less s</w:t>
      </w:r>
      <w:r>
        <w:rPr>
          <w:rFonts w:hint="eastAsia"/>
          <w:szCs w:val="21"/>
        </w:rPr>
        <w:t xml:space="preserve">cheme can obtain </w:t>
      </w:r>
      <w:r>
        <w:rPr>
          <w:rFonts w:hint="eastAsia"/>
        </w:rPr>
        <w:t>6.5% ~ 24.2%</w:t>
      </w:r>
      <w:r>
        <w:rPr>
          <w:rFonts w:hint="eastAsia"/>
          <w:lang w:bidi="ar"/>
        </w:rPr>
        <w:t xml:space="preserve"> energy saving gain for TDD and 14.9%~45.5% energy saving gain for FDD in the cases of RU=</w:t>
      </w:r>
      <w:r>
        <w:rPr>
          <w:rFonts w:hint="eastAsia"/>
        </w:rPr>
        <w:t>5%~40%</w:t>
      </w:r>
      <w:r>
        <w:rPr>
          <w:rFonts w:hint="eastAsia"/>
          <w:szCs w:val="21"/>
        </w:rPr>
        <w:t>.</w:t>
      </w:r>
      <w:r>
        <w:rPr>
          <w:szCs w:val="21"/>
        </w:rPr>
        <w:t xml:space="preserve"> And the UPT will be slightly increased since the reduced SSB/SIB resources can be used for more data transmission.</w:t>
      </w:r>
    </w:p>
    <w:p>
      <w:pPr>
        <w:pStyle w:val="28"/>
        <w:tabs>
          <w:tab w:val="clear" w:pos="420"/>
          <w:tab w:val="clear" w:pos="4820"/>
        </w:tabs>
        <w:adjustRightInd w:val="0"/>
        <w:snapToGrid w:val="0"/>
        <w:spacing w:before="120" w:after="120"/>
        <w:ind w:left="0"/>
      </w:pPr>
      <w:bookmarkStart w:id="8" w:name="_Toc10751"/>
      <w:bookmarkStart w:id="9" w:name="_Toc9762"/>
      <w:bookmarkStart w:id="10" w:name="_Toc7434"/>
      <w:bookmarkStart w:id="11" w:name="_Toc25982"/>
      <w:r>
        <w:t xml:space="preserve">The SSB-less and SIB-less scheme can obtain 6.5% ~ </w:t>
      </w:r>
      <w:r>
        <w:rPr>
          <w:lang w:val="en-US" w:eastAsia="zh-CN"/>
        </w:rPr>
        <w:t>24.2</w:t>
      </w:r>
      <w:r>
        <w:t xml:space="preserve">% energy saving gain </w:t>
      </w:r>
      <w:r>
        <w:rPr>
          <w:lang w:val="en-US" w:eastAsia="zh-CN" w:bidi="ar"/>
        </w:rPr>
        <w:t>for</w:t>
      </w:r>
      <w:r>
        <w:rPr>
          <w:lang w:bidi="ar"/>
        </w:rPr>
        <w:t xml:space="preserve"> </w:t>
      </w:r>
      <w:r>
        <w:rPr>
          <w:lang w:val="en-US" w:eastAsia="zh-CN" w:bidi="ar"/>
        </w:rPr>
        <w:t xml:space="preserve">TDD and 14.9%~45.5% energy saving gain for FDD </w:t>
      </w:r>
      <w:r>
        <w:t>in the cases RU=</w:t>
      </w:r>
      <w:r>
        <w:rPr>
          <w:rFonts w:hint="eastAsia"/>
          <w:lang w:val="en-US" w:eastAsia="zh-CN"/>
        </w:rPr>
        <w:t>5</w:t>
      </w:r>
      <w:r>
        <w:t>%~40%. The SSB-less and SIB-less scheme can obtain about 2.1%~</w:t>
      </w:r>
      <w:r>
        <w:rPr>
          <w:rFonts w:hint="eastAsia"/>
        </w:rPr>
        <w:t>11</w:t>
      </w:r>
      <w:r>
        <w:t>.7% UPT benefits in the cases RU=5%~</w:t>
      </w:r>
      <w:r>
        <w:rPr>
          <w:rFonts w:hint="eastAsia"/>
        </w:rPr>
        <w:t>40</w:t>
      </w:r>
      <w:r>
        <w:t>%.</w:t>
      </w:r>
      <w:bookmarkEnd w:id="8"/>
      <w:bookmarkEnd w:id="9"/>
      <w:bookmarkEnd w:id="10"/>
      <w:bookmarkEnd w:id="11"/>
    </w:p>
    <w:p>
      <w:pPr>
        <w:spacing w:before="120" w:after="120"/>
      </w:pPr>
      <w:r>
        <w:drawing>
          <wp:inline distT="0" distB="0" distL="114300" distR="114300">
            <wp:extent cx="2879725" cy="2160270"/>
            <wp:effectExtent l="4445" t="4445" r="11430" b="6985"/>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drawing>
          <wp:inline distT="0" distB="0" distL="114300" distR="114300">
            <wp:extent cx="2879725" cy="2160270"/>
            <wp:effectExtent l="4445" t="4445" r="11430" b="6985"/>
            <wp:docPr id="6"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before="120" w:after="120"/>
        <w:jc w:val="center"/>
      </w:pPr>
      <w:r>
        <w:rPr>
          <w:szCs w:val="21"/>
        </w:rPr>
        <w:t xml:space="preserve">Figure </w:t>
      </w:r>
      <w:r>
        <w:rPr>
          <w:rFonts w:hint="eastAsia"/>
          <w:szCs w:val="21"/>
        </w:rPr>
        <w:t>2</w:t>
      </w:r>
      <w:r>
        <w:rPr>
          <w:szCs w:val="21"/>
        </w:rPr>
        <w:t xml:space="preserve"> Evaluation results</w:t>
      </w:r>
      <w:r>
        <w:rPr>
          <w:rFonts w:hint="eastAsia"/>
          <w:szCs w:val="21"/>
        </w:rPr>
        <w:t xml:space="preserve"> of </w:t>
      </w:r>
      <w:r>
        <w:rPr>
          <w:szCs w:val="21"/>
        </w:rPr>
        <w:t>SSB</w:t>
      </w:r>
      <w:r>
        <w:rPr>
          <w:rFonts w:hint="eastAsia"/>
          <w:szCs w:val="21"/>
        </w:rPr>
        <w:t>-less</w:t>
      </w:r>
      <w:r>
        <w:rPr>
          <w:szCs w:val="21"/>
        </w:rPr>
        <w:t xml:space="preserve"> and SIB-less scheme</w:t>
      </w:r>
    </w:p>
    <w:bookmarkEnd w:id="5"/>
    <w:p>
      <w:pPr>
        <w:spacing w:before="120" w:after="120"/>
        <w:rPr>
          <w:szCs w:val="21"/>
        </w:rPr>
      </w:pPr>
      <w:bookmarkStart w:id="12" w:name="_Toc13760"/>
      <w:bookmarkStart w:id="13" w:name="_Toc10711"/>
      <w:r>
        <w:rPr>
          <w:szCs w:val="21"/>
        </w:rPr>
        <w:t>Based on the evaluation results, we have the following proposal.</w:t>
      </w:r>
      <w:bookmarkEnd w:id="12"/>
      <w:bookmarkEnd w:id="13"/>
    </w:p>
    <w:p>
      <w:pPr>
        <w:pStyle w:val="29"/>
        <w:spacing w:before="120" w:after="120"/>
      </w:pPr>
      <w:bookmarkStart w:id="14" w:name="_Toc31516"/>
      <w:bookmarkStart w:id="15" w:name="_Toc7040"/>
      <w:bookmarkStart w:id="16" w:name="_Toc5788"/>
      <w:bookmarkStart w:id="17" w:name="_Toc26092"/>
      <w:r>
        <w:rPr>
          <w:lang w:val="en-US" w:eastAsia="zh-CN"/>
        </w:rPr>
        <w:t>A serving</w:t>
      </w:r>
      <w:r>
        <w:rPr>
          <w:rFonts w:hint="eastAsia"/>
          <w:lang w:val="en-US" w:eastAsia="zh-CN"/>
        </w:rPr>
        <w:t xml:space="preserve"> cell with </w:t>
      </w:r>
      <w:r>
        <w:t>DL common signal/channel</w:t>
      </w:r>
      <w:r>
        <w:rPr>
          <w:lang w:val="en-US" w:eastAsia="zh-CN"/>
        </w:rPr>
        <w:t xml:space="preserve"> (i.e., SSB, SIB) reduction can be considered for network energy saving.</w:t>
      </w:r>
      <w:bookmarkEnd w:id="14"/>
      <w:bookmarkEnd w:id="15"/>
      <w:bookmarkEnd w:id="16"/>
      <w:bookmarkEnd w:id="17"/>
    </w:p>
    <w:p>
      <w:pPr>
        <w:spacing w:before="120" w:after="120"/>
        <w:rPr>
          <w:szCs w:val="21"/>
        </w:rPr>
      </w:pPr>
      <w:r>
        <w:rPr>
          <w:szCs w:val="21"/>
        </w:rPr>
        <w:t>In the case that UE gets access to the SIB-less cell, the UE can obtain SIB via an assistant cell.</w:t>
      </w:r>
    </w:p>
    <w:p>
      <w:pPr>
        <w:pStyle w:val="29"/>
        <w:spacing w:before="120" w:after="120"/>
      </w:pPr>
      <w:bookmarkStart w:id="18" w:name="_Toc7262"/>
      <w:bookmarkStart w:id="19" w:name="_Toc1867"/>
      <w:bookmarkStart w:id="20" w:name="_Toc16070"/>
      <w:bookmarkStart w:id="21" w:name="_Toc21071"/>
      <w:r>
        <w:rPr>
          <w:lang w:val="en-US" w:eastAsia="zh-CN"/>
        </w:rPr>
        <w:t>UEs can obtain SIB from an assistant cell.</w:t>
      </w:r>
      <w:bookmarkEnd w:id="18"/>
      <w:bookmarkEnd w:id="19"/>
      <w:bookmarkEnd w:id="20"/>
      <w:bookmarkEnd w:id="21"/>
    </w:p>
    <w:p>
      <w:pPr>
        <w:spacing w:before="120" w:after="120"/>
        <w:rPr>
          <w:szCs w:val="21"/>
        </w:rPr>
      </w:pPr>
      <w:r>
        <w:rPr>
          <w:rFonts w:hint="eastAsia"/>
          <w:szCs w:val="21"/>
        </w:rPr>
        <w:t>B</w:t>
      </w:r>
      <w:r>
        <w:rPr>
          <w:szCs w:val="21"/>
        </w:rPr>
        <w:t xml:space="preserve">ased on the Cat 2 power consumption model as agreed in the last meeting, it can be observed that the power value of active UL reception is close to that of micro-sleep state. Therefore, the energy saving gain from UL common signal/channel reduction is limited. However, if SSB/SIB transmission in a serving cell is reduced or eliminated, the impact on PRACH needs to be considered. </w:t>
      </w:r>
    </w:p>
    <w:p>
      <w:pPr>
        <w:pStyle w:val="29"/>
        <w:spacing w:before="120" w:after="120"/>
      </w:pPr>
      <w:bookmarkStart w:id="22" w:name="_Toc13269"/>
      <w:bookmarkStart w:id="23" w:name="_Toc16726"/>
      <w:bookmarkStart w:id="24" w:name="_Toc15217"/>
      <w:bookmarkStart w:id="25" w:name="_Toc25017"/>
      <w:bookmarkStart w:id="26" w:name="_Toc402"/>
      <w:r>
        <w:rPr>
          <w:lang w:val="en-US" w:eastAsia="zh-CN"/>
        </w:rPr>
        <w:t xml:space="preserve">The impact </w:t>
      </w:r>
      <w:r>
        <w:rPr>
          <w:rFonts w:hint="eastAsia"/>
          <w:lang w:val="en-US" w:eastAsia="zh-CN"/>
        </w:rPr>
        <w:t>of common signal reduction (e.g. SSB, SIB</w:t>
      </w:r>
      <w:r>
        <w:rPr>
          <w:lang w:val="en-US" w:eastAsia="zh-CN"/>
        </w:rPr>
        <w:t xml:space="preserve"> reduction</w:t>
      </w:r>
      <w:r>
        <w:rPr>
          <w:rFonts w:hint="eastAsia"/>
          <w:lang w:val="en-US" w:eastAsia="zh-CN"/>
        </w:rPr>
        <w:t>) on uplink transmission (e.g. PRACH) should be considered.</w:t>
      </w:r>
      <w:bookmarkEnd w:id="22"/>
      <w:bookmarkEnd w:id="23"/>
      <w:bookmarkEnd w:id="24"/>
      <w:bookmarkEnd w:id="25"/>
      <w:bookmarkEnd w:id="26"/>
    </w:p>
    <w:p>
      <w:pPr>
        <w:spacing w:before="120" w:after="120"/>
        <w:rPr>
          <w:szCs w:val="21"/>
        </w:rPr>
      </w:pPr>
      <w:r>
        <w:rPr>
          <w:rFonts w:hint="eastAsia"/>
          <w:szCs w:val="21"/>
        </w:rPr>
        <w:t>Considering the impact of network energy saving techn</w:t>
      </w:r>
      <w:r>
        <w:rPr>
          <w:szCs w:val="21"/>
        </w:rPr>
        <w:t>iques</w:t>
      </w:r>
      <w:r>
        <w:rPr>
          <w:rFonts w:hint="eastAsia"/>
          <w:szCs w:val="21"/>
        </w:rPr>
        <w:t xml:space="preserve"> on system performance</w:t>
      </w:r>
      <w:r>
        <w:rPr>
          <w:szCs w:val="21"/>
        </w:rPr>
        <w:t xml:space="preserve"> </w:t>
      </w:r>
      <w:r>
        <w:rPr>
          <w:rFonts w:hint="eastAsia"/>
          <w:szCs w:val="21"/>
        </w:rPr>
        <w:t xml:space="preserve">(e.g., </w:t>
      </w:r>
      <w:r>
        <w:rPr>
          <w:szCs w:val="21"/>
        </w:rPr>
        <w:t>throughput, latency, etc.</w:t>
      </w:r>
      <w:r>
        <w:rPr>
          <w:rFonts w:hint="eastAsia"/>
          <w:szCs w:val="21"/>
        </w:rPr>
        <w:t xml:space="preserve">) and user experience, an energy saving fallback mechanism, such as </w:t>
      </w:r>
      <w:r>
        <w:rPr>
          <w:szCs w:val="21"/>
        </w:rPr>
        <w:t>a</w:t>
      </w:r>
      <w:r>
        <w:rPr>
          <w:rFonts w:hint="eastAsia"/>
          <w:szCs w:val="21"/>
        </w:rPr>
        <w:t>n</w:t>
      </w:r>
      <w:r>
        <w:rPr>
          <w:szCs w:val="21"/>
        </w:rPr>
        <w:t xml:space="preserve"> uplink wake-up mechanism (WUS)</w:t>
      </w:r>
      <w:r>
        <w:rPr>
          <w:rFonts w:hint="eastAsia"/>
          <w:szCs w:val="21"/>
        </w:rPr>
        <w:t xml:space="preserve">, should be studied. </w:t>
      </w:r>
    </w:p>
    <w:p>
      <w:pPr>
        <w:spacing w:before="120" w:after="120"/>
        <w:rPr>
          <w:szCs w:val="21"/>
        </w:rPr>
      </w:pPr>
      <w:r>
        <w:rPr>
          <w:szCs w:val="21"/>
        </w:rPr>
        <w:t xml:space="preserve">When the network enters into an energy saving state with reduced or </w:t>
      </w:r>
      <w:r>
        <w:rPr>
          <w:rFonts w:hint="eastAsia"/>
          <w:szCs w:val="21"/>
        </w:rPr>
        <w:t>eliminated</w:t>
      </w:r>
      <w:r>
        <w:rPr>
          <w:szCs w:val="21"/>
        </w:rPr>
        <w:t xml:space="preserve"> DL common signal/channel</w:t>
      </w:r>
      <w:r>
        <w:rPr>
          <w:rFonts w:hint="eastAsia"/>
          <w:szCs w:val="21"/>
        </w:rPr>
        <w:t xml:space="preserve"> transmission</w:t>
      </w:r>
      <w:r>
        <w:rPr>
          <w:szCs w:val="21"/>
        </w:rPr>
        <w:t xml:space="preserve">, </w:t>
      </w:r>
      <w:r>
        <w:rPr>
          <w:rFonts w:hint="eastAsia"/>
          <w:szCs w:val="21"/>
        </w:rPr>
        <w:t xml:space="preserve">the </w:t>
      </w:r>
      <w:r>
        <w:rPr>
          <w:szCs w:val="21"/>
        </w:rPr>
        <w:t xml:space="preserve">access delay </w:t>
      </w:r>
      <w:r>
        <w:rPr>
          <w:rFonts w:hint="eastAsia"/>
          <w:szCs w:val="21"/>
        </w:rPr>
        <w:t>may be</w:t>
      </w:r>
      <w:r>
        <w:rPr>
          <w:szCs w:val="21"/>
        </w:rPr>
        <w:t xml:space="preserve"> increased. </w:t>
      </w:r>
      <w:r>
        <w:rPr>
          <w:rFonts w:hint="eastAsia"/>
          <w:szCs w:val="21"/>
        </w:rPr>
        <w:t>In this case</w:t>
      </w:r>
      <w:r>
        <w:rPr>
          <w:szCs w:val="21"/>
        </w:rPr>
        <w:t xml:space="preserve">, a wake-up mechanism can be introduced to ensure immediate response/service by the network and minimize the impact on user experience. As shown in </w:t>
      </w:r>
      <w:r>
        <w:rPr>
          <w:rFonts w:hint="eastAsia"/>
          <w:szCs w:val="21"/>
        </w:rPr>
        <w:fldChar w:fldCharType="begin"/>
      </w:r>
      <w:r>
        <w:rPr>
          <w:szCs w:val="21"/>
        </w:rPr>
        <w:instrText xml:space="preserve"> REF _Ref14504 \h  \* MERGEFORMAT </w:instrText>
      </w:r>
      <w:r>
        <w:rPr>
          <w:rFonts w:hint="eastAsia"/>
          <w:szCs w:val="21"/>
        </w:rPr>
        <w:fldChar w:fldCharType="separate"/>
      </w:r>
      <w:r>
        <w:t xml:space="preserve">Figure </w:t>
      </w:r>
      <w:r>
        <w:rPr>
          <w:rFonts w:hint="eastAsia"/>
          <w:szCs w:val="21"/>
        </w:rPr>
        <w:fldChar w:fldCharType="end"/>
      </w:r>
      <w:r>
        <w:rPr>
          <w:rFonts w:hint="eastAsia"/>
        </w:rPr>
        <w:t>3</w:t>
      </w:r>
      <w:r>
        <w:rPr>
          <w:szCs w:val="21"/>
        </w:rPr>
        <w:t xml:space="preserve">, when </w:t>
      </w:r>
      <w:r>
        <w:rPr>
          <w:rFonts w:hint="eastAsia"/>
          <w:szCs w:val="21"/>
        </w:rPr>
        <w:t xml:space="preserve">an energy saving state with </w:t>
      </w:r>
      <w:r>
        <w:rPr>
          <w:szCs w:val="21"/>
        </w:rPr>
        <w:t xml:space="preserve">limited or no </w:t>
      </w:r>
      <w:r>
        <w:rPr>
          <w:rFonts w:hint="eastAsia"/>
          <w:szCs w:val="21"/>
        </w:rPr>
        <w:t xml:space="preserve">DL common signal is </w:t>
      </w:r>
      <w:r>
        <w:rPr>
          <w:szCs w:val="21"/>
        </w:rPr>
        <w:t>supported, UE can transmit uplink WUS to the network. After receiving the WUS, the network can adjust the SSB transmission to respond to the UE’s requirement.</w:t>
      </w:r>
      <w:r>
        <w:rPr>
          <w:rFonts w:hint="eastAsia"/>
          <w:szCs w:val="21"/>
        </w:rPr>
        <w:t xml:space="preserve"> </w:t>
      </w:r>
    </w:p>
    <w:p>
      <w:pPr>
        <w:spacing w:before="120" w:after="120"/>
        <w:rPr>
          <w:szCs w:val="21"/>
        </w:rPr>
      </w:pPr>
    </w:p>
    <w:p>
      <w:pPr>
        <w:spacing w:before="120" w:after="120"/>
        <w:jc w:val="center"/>
      </w:pPr>
      <w:r>
        <w:drawing>
          <wp:inline distT="0" distB="0" distL="114300" distR="114300">
            <wp:extent cx="4904740" cy="147828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3"/>
                    <a:stretch>
                      <a:fillRect/>
                    </a:stretch>
                  </pic:blipFill>
                  <pic:spPr>
                    <a:xfrm>
                      <a:off x="0" y="0"/>
                      <a:ext cx="4904740" cy="1478280"/>
                    </a:xfrm>
                    <a:prstGeom prst="rect">
                      <a:avLst/>
                    </a:prstGeom>
                    <a:noFill/>
                    <a:ln>
                      <a:noFill/>
                    </a:ln>
                  </pic:spPr>
                </pic:pic>
              </a:graphicData>
            </a:graphic>
          </wp:inline>
        </w:drawing>
      </w:r>
    </w:p>
    <w:p>
      <w:pPr>
        <w:spacing w:before="120" w:after="120"/>
        <w:jc w:val="center"/>
      </w:pPr>
      <w:bookmarkStart w:id="27" w:name="_Ref14504"/>
      <w:r>
        <w:t xml:space="preserve">Figure </w:t>
      </w:r>
      <w:bookmarkEnd w:id="27"/>
      <w:r>
        <w:rPr>
          <w:rFonts w:hint="eastAsia"/>
        </w:rPr>
        <w:t>3</w:t>
      </w:r>
      <w:r>
        <w:t xml:space="preserve"> DL common signal/channel adaptation with WUS</w:t>
      </w:r>
    </w:p>
    <w:p>
      <w:pPr>
        <w:spacing w:before="120" w:after="120" w:line="260" w:lineRule="auto"/>
        <w:rPr>
          <w:szCs w:val="21"/>
        </w:rPr>
      </w:pPr>
      <w:r>
        <w:rPr>
          <w:rFonts w:hint="eastAsia"/>
          <w:szCs w:val="21"/>
        </w:rPr>
        <w:t xml:space="preserve">In another cases, the WUS can also be used to indicate the activation of a </w:t>
      </w:r>
      <w:r>
        <w:rPr>
          <w:szCs w:val="21"/>
        </w:rPr>
        <w:t>serving cell. For example,</w:t>
      </w:r>
      <w:r>
        <w:rPr>
          <w:rFonts w:hint="eastAsia"/>
          <w:szCs w:val="21"/>
        </w:rPr>
        <w:t xml:space="preserve"> when the measurement quality of the</w:t>
      </w:r>
      <w:r>
        <w:rPr>
          <w:szCs w:val="21"/>
        </w:rPr>
        <w:t xml:space="preserve"> current</w:t>
      </w:r>
      <w:r>
        <w:rPr>
          <w:rFonts w:hint="eastAsia"/>
          <w:szCs w:val="21"/>
        </w:rPr>
        <w:t xml:space="preserve"> serving cell that UE </w:t>
      </w:r>
      <w:r>
        <w:rPr>
          <w:szCs w:val="21"/>
        </w:rPr>
        <w:t>camped</w:t>
      </w:r>
      <w:r>
        <w:rPr>
          <w:rFonts w:hint="eastAsia"/>
          <w:szCs w:val="21"/>
        </w:rPr>
        <w:t xml:space="preserve"> becomes </w:t>
      </w:r>
      <w:r>
        <w:rPr>
          <w:szCs w:val="21"/>
        </w:rPr>
        <w:t>worse</w:t>
      </w:r>
      <w:r>
        <w:rPr>
          <w:rFonts w:hint="eastAsia"/>
          <w:szCs w:val="21"/>
        </w:rPr>
        <w:t xml:space="preserve"> and no neighbor cell is detected, UE </w:t>
      </w:r>
      <w:r>
        <w:rPr>
          <w:szCs w:val="21"/>
        </w:rPr>
        <w:t>can</w:t>
      </w:r>
      <w:r>
        <w:rPr>
          <w:rFonts w:hint="eastAsia"/>
          <w:szCs w:val="21"/>
        </w:rPr>
        <w:t xml:space="preserve"> transmit WUS to base station</w:t>
      </w:r>
      <w:r>
        <w:rPr>
          <w:szCs w:val="21"/>
        </w:rPr>
        <w:t xml:space="preserve"> for cell activation</w:t>
      </w:r>
      <w:r>
        <w:rPr>
          <w:rFonts w:hint="eastAsia"/>
          <w:szCs w:val="21"/>
        </w:rPr>
        <w:t xml:space="preserve">. The base station can detect WUS </w:t>
      </w:r>
      <w:r>
        <w:rPr>
          <w:szCs w:val="21"/>
        </w:rPr>
        <w:t>in</w:t>
      </w:r>
      <w:r>
        <w:rPr>
          <w:rFonts w:hint="eastAsia"/>
          <w:szCs w:val="21"/>
        </w:rPr>
        <w:t xml:space="preserve"> WUS occasion</w:t>
      </w:r>
      <w:r>
        <w:rPr>
          <w:szCs w:val="21"/>
        </w:rPr>
        <w:t>s</w:t>
      </w:r>
      <w:r>
        <w:rPr>
          <w:rFonts w:hint="eastAsia"/>
          <w:szCs w:val="21"/>
        </w:rPr>
        <w:t xml:space="preserve">. When WUS is detected, the base station </w:t>
      </w:r>
      <w:r>
        <w:rPr>
          <w:szCs w:val="21"/>
        </w:rPr>
        <w:t xml:space="preserve">in de-deactivation state with no SSB/SIB transmission </w:t>
      </w:r>
      <w:r>
        <w:rPr>
          <w:rFonts w:hint="eastAsia"/>
          <w:szCs w:val="21"/>
        </w:rPr>
        <w:t>can adjust the configuration according to the indication of WUS, which can minimize the impact on users</w:t>
      </w:r>
      <w:r>
        <w:rPr>
          <w:szCs w:val="21"/>
        </w:rPr>
        <w:t>’ accesses/services</w:t>
      </w:r>
      <w:r>
        <w:rPr>
          <w:rFonts w:hint="eastAsia"/>
          <w:szCs w:val="21"/>
        </w:rPr>
        <w:t xml:space="preserve"> </w:t>
      </w:r>
      <w:r>
        <w:rPr>
          <w:szCs w:val="21"/>
        </w:rPr>
        <w:t>in the mean</w:t>
      </w:r>
      <w:r>
        <w:rPr>
          <w:rFonts w:hint="eastAsia"/>
          <w:szCs w:val="21"/>
        </w:rPr>
        <w:t>while ensuring the energy saving gain.</w:t>
      </w:r>
    </w:p>
    <w:p>
      <w:pPr>
        <w:pStyle w:val="29"/>
        <w:spacing w:before="120" w:after="120"/>
      </w:pPr>
      <w:bookmarkStart w:id="28" w:name="_Toc784"/>
      <w:bookmarkStart w:id="29" w:name="_Toc27829"/>
      <w:bookmarkStart w:id="30" w:name="_Toc8298"/>
      <w:bookmarkStart w:id="31" w:name="_Toc28791"/>
      <w:r>
        <w:rPr>
          <w:lang w:val="en-US" w:eastAsia="zh-CN"/>
        </w:rPr>
        <w:t>An uplink WUS sent by UE can be considered for DL common signal/channel (e.g., SIB</w:t>
      </w:r>
      <w:r>
        <w:rPr>
          <w:rFonts w:hint="eastAsia"/>
          <w:lang w:val="en-US" w:eastAsia="zh-CN"/>
        </w:rPr>
        <w:t>/SSB</w:t>
      </w:r>
      <w:r>
        <w:rPr>
          <w:lang w:val="en-US" w:eastAsia="zh-CN"/>
        </w:rPr>
        <w:t>) adaption or cell activation operation.</w:t>
      </w:r>
      <w:bookmarkEnd w:id="28"/>
      <w:bookmarkEnd w:id="29"/>
      <w:bookmarkEnd w:id="30"/>
      <w:bookmarkEnd w:id="31"/>
    </w:p>
    <w:p>
      <w:pPr>
        <w:spacing w:before="120" w:after="120"/>
        <w:rPr>
          <w:szCs w:val="21"/>
        </w:rPr>
      </w:pPr>
      <w:r>
        <w:t xml:space="preserve">Based on the above analysis, we can have the following </w:t>
      </w:r>
      <w:r>
        <w:rPr>
          <w:rFonts w:hint="eastAsia"/>
        </w:rPr>
        <w:t>proposal.</w:t>
      </w:r>
    </w:p>
    <w:p>
      <w:pPr>
        <w:pStyle w:val="29"/>
        <w:spacing w:before="120" w:after="120"/>
      </w:pPr>
      <w:bookmarkStart w:id="32" w:name="_Toc8364"/>
      <w:bookmarkStart w:id="33" w:name="_Toc20035"/>
      <w:bookmarkStart w:id="34" w:name="_Toc9365"/>
      <w:bookmarkStart w:id="35" w:name="_Toc25829"/>
      <w:r>
        <w:rPr>
          <w:rFonts w:hint="eastAsia"/>
          <w:lang w:val="en-US" w:eastAsia="zh-CN"/>
        </w:rPr>
        <w:t>Capture the following description in</w:t>
      </w:r>
      <w:r>
        <w:rPr>
          <w:lang w:val="en-US" w:eastAsia="zh-CN"/>
        </w:rPr>
        <w:t xml:space="preserve"> the network energy saving techniques in time domain in</w:t>
      </w:r>
      <w:r>
        <w:rPr>
          <w:rFonts w:hint="eastAsia"/>
          <w:lang w:val="en-US" w:eastAsia="zh-CN"/>
        </w:rPr>
        <w:t xml:space="preserve"> </w:t>
      </w:r>
      <w:r>
        <w:rPr>
          <w:lang w:val="en-US" w:eastAsia="zh-CN"/>
        </w:rPr>
        <w:t xml:space="preserve">the </w:t>
      </w:r>
      <w:r>
        <w:rPr>
          <w:rFonts w:hint="eastAsia"/>
          <w:lang w:val="en-US" w:eastAsia="zh-CN"/>
        </w:rPr>
        <w:t>TR.</w:t>
      </w:r>
      <w:bookmarkEnd w:id="32"/>
      <w:bookmarkEnd w:id="33"/>
      <w:bookmarkEnd w:id="34"/>
      <w:bookmarkEnd w:id="35"/>
      <w:r>
        <w:rPr>
          <w:rFonts w:hint="eastAsia"/>
          <w:lang w:val="en-US" w:eastAsia="zh-CN"/>
        </w:rPr>
        <w:t xml:space="preserve"> </w:t>
      </w:r>
    </w:p>
    <w:p>
      <w:pPr>
        <w:pStyle w:val="29"/>
        <w:numPr>
          <w:ilvl w:val="0"/>
          <w:numId w:val="10"/>
        </w:numPr>
        <w:spacing w:before="120" w:after="120"/>
        <w:ind w:left="420" w:leftChars="200"/>
      </w:pPr>
      <w:bookmarkStart w:id="36" w:name="_Toc1146"/>
      <w:bookmarkStart w:id="37" w:name="_Toc15245"/>
      <w:bookmarkStart w:id="38" w:name="_Toc28953"/>
      <w:bookmarkStart w:id="39" w:name="_Toc4101"/>
      <w:r>
        <w:rPr>
          <w:lang w:val="en-US" w:eastAsia="zh-CN"/>
        </w:rPr>
        <w:t>Adaptation of common signals and channels</w:t>
      </w:r>
      <w:r>
        <w:rPr>
          <w:rFonts w:hint="eastAsia"/>
          <w:lang w:val="en-US" w:eastAsia="zh-CN"/>
        </w:rPr>
        <w:t>.</w:t>
      </w:r>
      <w:bookmarkEnd w:id="36"/>
      <w:bookmarkEnd w:id="37"/>
      <w:bookmarkEnd w:id="38"/>
      <w:bookmarkEnd w:id="39"/>
      <w:r>
        <w:rPr>
          <w:rFonts w:hint="eastAsia"/>
          <w:lang w:val="en-US" w:eastAsia="zh-CN"/>
        </w:rPr>
        <w:t xml:space="preserve"> </w:t>
      </w:r>
    </w:p>
    <w:p>
      <w:pPr>
        <w:pStyle w:val="29"/>
        <w:numPr>
          <w:ilvl w:val="1"/>
          <w:numId w:val="10"/>
        </w:numPr>
        <w:tabs>
          <w:tab w:val="clear" w:pos="840"/>
        </w:tabs>
        <w:spacing w:before="120" w:after="120"/>
        <w:ind w:left="1260"/>
        <w:rPr>
          <w:lang w:val="en-US" w:eastAsia="zh-CN"/>
        </w:rPr>
      </w:pPr>
      <w:bookmarkStart w:id="40" w:name="_Toc24688"/>
      <w:bookmarkStart w:id="41" w:name="_Toc31627"/>
      <w:bookmarkStart w:id="42" w:name="_Toc7994"/>
      <w:bookmarkStart w:id="43" w:name="_Toc20262"/>
      <w:r>
        <w:rPr>
          <w:rFonts w:hint="eastAsia"/>
          <w:lang w:val="en-US" w:eastAsia="zh-CN"/>
        </w:rPr>
        <w:t>P</w:t>
      </w:r>
      <w:r>
        <w:rPr>
          <w:lang w:val="en-US" w:eastAsia="zh-CN"/>
        </w:rPr>
        <w:t>erformance analysis</w:t>
      </w:r>
      <w:bookmarkEnd w:id="40"/>
      <w:bookmarkEnd w:id="41"/>
      <w:bookmarkEnd w:id="42"/>
      <w:bookmarkEnd w:id="43"/>
    </w:p>
    <w:p>
      <w:pPr>
        <w:pStyle w:val="29"/>
        <w:numPr>
          <w:ilvl w:val="3"/>
          <w:numId w:val="11"/>
        </w:numPr>
        <w:spacing w:before="120" w:after="120"/>
      </w:pPr>
      <w:bookmarkStart w:id="44" w:name="_Toc10957"/>
      <w:bookmarkStart w:id="45" w:name="_Toc30856"/>
      <w:bookmarkStart w:id="46" w:name="_Toc15921"/>
      <w:bookmarkStart w:id="47" w:name="_Toc18543"/>
      <w:r>
        <w:rPr>
          <w:rFonts w:hint="eastAsia"/>
        </w:rPr>
        <w:t xml:space="preserve">The SSB-less </w:t>
      </w:r>
      <w:r>
        <w:rPr>
          <w:rFonts w:hint="eastAsia"/>
          <w:lang w:val="en-US" w:eastAsia="zh-CN"/>
        </w:rPr>
        <w:t>and SIB-less</w:t>
      </w:r>
      <w:r>
        <w:rPr>
          <w:rFonts w:hint="eastAsia"/>
        </w:rPr>
        <w:t xml:space="preserve"> scheme can obtain </w:t>
      </w:r>
      <w:r>
        <w:t>5%~</w:t>
      </w:r>
      <w:r>
        <w:rPr>
          <w:lang w:val="en-US" w:eastAsia="zh-CN"/>
        </w:rPr>
        <w:t>14.8</w:t>
      </w:r>
      <w:r>
        <w:t>%</w:t>
      </w:r>
      <w:r>
        <w:rPr>
          <w:lang w:bidi="ar"/>
        </w:rPr>
        <w:t xml:space="preserve"> energy saving gain in the cases of RU=</w:t>
      </w:r>
      <w:r>
        <w:rPr>
          <w:lang w:val="en-US" w:eastAsia="zh-CN"/>
        </w:rPr>
        <w:t>5</w:t>
      </w:r>
      <w:r>
        <w:t>%~</w:t>
      </w:r>
      <w:r>
        <w:rPr>
          <w:lang w:val="en-US" w:eastAsia="zh-CN"/>
        </w:rPr>
        <w:t>25</w:t>
      </w:r>
      <w:r>
        <w:t>%</w:t>
      </w:r>
      <w:r>
        <w:rPr>
          <w:lang w:val="en-US" w:eastAsia="zh-CN"/>
        </w:rPr>
        <w:t xml:space="preserve"> for TDD and 9.4%~26.4% energy saving gain in the case of RU=5%~15% for FDD.</w:t>
      </w:r>
      <w:bookmarkEnd w:id="44"/>
      <w:bookmarkEnd w:id="45"/>
      <w:bookmarkEnd w:id="46"/>
      <w:bookmarkEnd w:id="47"/>
    </w:p>
    <w:p>
      <w:pPr>
        <w:pStyle w:val="29"/>
        <w:numPr>
          <w:ilvl w:val="1"/>
          <w:numId w:val="10"/>
        </w:numPr>
        <w:tabs>
          <w:tab w:val="clear" w:pos="840"/>
        </w:tabs>
        <w:spacing w:before="120" w:after="120"/>
        <w:ind w:left="1260"/>
      </w:pPr>
      <w:bookmarkStart w:id="48" w:name="_Toc5509"/>
      <w:bookmarkStart w:id="49" w:name="_Toc12261"/>
      <w:bookmarkStart w:id="50" w:name="_Toc30142"/>
      <w:bookmarkStart w:id="51" w:name="_Toc28105"/>
      <w:r>
        <w:rPr>
          <w:rFonts w:hint="eastAsia"/>
          <w:lang w:val="en-US" w:eastAsia="zh-CN"/>
        </w:rPr>
        <w:t xml:space="preserve">Specification </w:t>
      </w:r>
      <w:r>
        <w:rPr>
          <w:rFonts w:hint="eastAsia"/>
        </w:rPr>
        <w:t xml:space="preserve">impact </w:t>
      </w:r>
      <w:r>
        <w:rPr>
          <w:rFonts w:hint="eastAsia"/>
          <w:lang w:val="en-US" w:eastAsia="zh-CN"/>
        </w:rPr>
        <w:t>may include</w:t>
      </w:r>
      <w:bookmarkEnd w:id="48"/>
      <w:bookmarkEnd w:id="49"/>
      <w:bookmarkEnd w:id="50"/>
      <w:bookmarkEnd w:id="51"/>
    </w:p>
    <w:p>
      <w:pPr>
        <w:pStyle w:val="29"/>
        <w:numPr>
          <w:ilvl w:val="3"/>
          <w:numId w:val="11"/>
        </w:numPr>
        <w:spacing w:before="120" w:after="120"/>
      </w:pPr>
      <w:bookmarkStart w:id="52" w:name="_Toc22870"/>
      <w:bookmarkStart w:id="53" w:name="_Toc29471"/>
      <w:bookmarkStart w:id="54" w:name="_Toc20221"/>
      <w:bookmarkStart w:id="55" w:name="_Toc28505"/>
      <w:r>
        <w:t>UEs obtain SIB from an assistant cell.</w:t>
      </w:r>
      <w:bookmarkEnd w:id="52"/>
      <w:bookmarkEnd w:id="53"/>
      <w:bookmarkEnd w:id="54"/>
    </w:p>
    <w:p>
      <w:pPr>
        <w:pStyle w:val="29"/>
        <w:numPr>
          <w:ilvl w:val="3"/>
          <w:numId w:val="11"/>
        </w:numPr>
        <w:spacing w:before="120" w:after="120"/>
      </w:pPr>
      <w:bookmarkStart w:id="56" w:name="_Toc31141"/>
      <w:bookmarkStart w:id="57" w:name="_Toc17165"/>
      <w:bookmarkStart w:id="58" w:name="_Toc2948"/>
      <w:r>
        <w:t xml:space="preserve">The impact </w:t>
      </w:r>
      <w:r>
        <w:rPr>
          <w:rFonts w:hint="eastAsia"/>
        </w:rPr>
        <w:t>of common signal reduction (e.g. SSB, SIB) on uplink transmission (e.g. PRACH).</w:t>
      </w:r>
      <w:bookmarkEnd w:id="56"/>
      <w:bookmarkEnd w:id="57"/>
      <w:bookmarkEnd w:id="58"/>
    </w:p>
    <w:p>
      <w:pPr>
        <w:pStyle w:val="29"/>
        <w:numPr>
          <w:ilvl w:val="3"/>
          <w:numId w:val="11"/>
        </w:numPr>
        <w:spacing w:before="120" w:after="120"/>
      </w:pPr>
      <w:bookmarkStart w:id="59" w:name="_Toc10502"/>
      <w:bookmarkStart w:id="60" w:name="_Toc11874"/>
      <w:bookmarkStart w:id="61" w:name="_Toc28524"/>
      <w:r>
        <w:t>An uplink WUS sent by UE for DL common signal/channel (e.g., SIB</w:t>
      </w:r>
      <w:r>
        <w:rPr>
          <w:rFonts w:hint="eastAsia"/>
        </w:rPr>
        <w:t>/SSB</w:t>
      </w:r>
      <w:r>
        <w:t>) adaption or cell activation operation.</w:t>
      </w:r>
      <w:bookmarkEnd w:id="55"/>
      <w:bookmarkEnd w:id="59"/>
      <w:bookmarkEnd w:id="60"/>
      <w:bookmarkEnd w:id="61"/>
    </w:p>
    <w:p>
      <w:pPr>
        <w:spacing w:before="120" w:after="120"/>
      </w:pP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frequency domain</w:t>
      </w:r>
    </w:p>
    <w:p>
      <w:pPr>
        <w:spacing w:before="120" w:after="120" w:line="260" w:lineRule="auto"/>
        <w:rPr>
          <w:szCs w:val="21"/>
        </w:rPr>
      </w:pPr>
      <w:r>
        <w:rPr>
          <w:szCs w:val="21"/>
        </w:rPr>
        <w:t xml:space="preserve">For the connected-mode UEs configured with CA, </w:t>
      </w:r>
      <w:r>
        <w:rPr>
          <w:rFonts w:hint="eastAsia"/>
          <w:szCs w:val="21"/>
        </w:rPr>
        <w:t>gNB can perform DL/UL data</w:t>
      </w:r>
      <w:r>
        <w:rPr>
          <w:szCs w:val="21"/>
        </w:rPr>
        <w:t xml:space="preserve"> transmission </w:t>
      </w:r>
      <w:r>
        <w:rPr>
          <w:rFonts w:hint="eastAsia"/>
          <w:szCs w:val="21"/>
        </w:rPr>
        <w:t xml:space="preserve">on each cell. For </w:t>
      </w:r>
      <w:r>
        <w:rPr>
          <w:szCs w:val="21"/>
        </w:rPr>
        <w:t>the</w:t>
      </w:r>
      <w:r>
        <w:rPr>
          <w:rFonts w:hint="eastAsia"/>
          <w:szCs w:val="21"/>
        </w:rPr>
        <w:t xml:space="preserve"> SCell</w:t>
      </w:r>
      <w:r>
        <w:rPr>
          <w:szCs w:val="21"/>
        </w:rPr>
        <w:t xml:space="preserve"> </w:t>
      </w:r>
      <w:r>
        <w:rPr>
          <w:rFonts w:hint="eastAsia"/>
          <w:szCs w:val="21"/>
        </w:rPr>
        <w:t>with low or no DL traffic load, SSB occup</w:t>
      </w:r>
      <w:r>
        <w:rPr>
          <w:szCs w:val="21"/>
        </w:rPr>
        <w:t>ies</w:t>
      </w:r>
      <w:r>
        <w:rPr>
          <w:rFonts w:hint="eastAsia"/>
          <w:szCs w:val="21"/>
        </w:rPr>
        <w:t xml:space="preserve"> most of the DL </w:t>
      </w:r>
      <w:r>
        <w:rPr>
          <w:szCs w:val="21"/>
        </w:rPr>
        <w:t>occasions</w:t>
      </w:r>
      <w:r>
        <w:rPr>
          <w:rFonts w:hint="eastAsia"/>
          <w:szCs w:val="21"/>
        </w:rPr>
        <w:t xml:space="preserve">, in which BS cannot enter into a sleep mode for energy saving. In this situation, the power consumption of </w:t>
      </w:r>
      <w:r>
        <w:rPr>
          <w:szCs w:val="21"/>
        </w:rPr>
        <w:t>SS</w:t>
      </w:r>
      <w:r>
        <w:rPr>
          <w:rFonts w:hint="eastAsia"/>
          <w:szCs w:val="21"/>
        </w:rPr>
        <w:t>B</w:t>
      </w:r>
      <w:r>
        <w:rPr>
          <w:szCs w:val="21"/>
        </w:rPr>
        <w:t xml:space="preserve"> </w:t>
      </w:r>
      <w:r>
        <w:rPr>
          <w:rFonts w:hint="eastAsia"/>
          <w:szCs w:val="21"/>
        </w:rPr>
        <w:t xml:space="preserve">transmission results in a </w:t>
      </w:r>
      <w:r>
        <w:rPr>
          <w:szCs w:val="21"/>
        </w:rPr>
        <w:t>significant</w:t>
      </w:r>
      <w:r>
        <w:rPr>
          <w:rFonts w:hint="eastAsia"/>
          <w:szCs w:val="21"/>
        </w:rPr>
        <w:t xml:space="preserve"> amount of network power consumption. Therefore, SSB transmission</w:t>
      </w:r>
      <w:r>
        <w:rPr>
          <w:szCs w:val="21"/>
        </w:rPr>
        <w:t xml:space="preserve"> reduction</w:t>
      </w:r>
      <w:r>
        <w:rPr>
          <w:rFonts w:hint="eastAsia"/>
          <w:szCs w:val="21"/>
        </w:rPr>
        <w:t xml:space="preserve"> on SCells is a</w:t>
      </w:r>
      <w:r>
        <w:rPr>
          <w:szCs w:val="21"/>
        </w:rPr>
        <w:t>n important</w:t>
      </w:r>
      <w:r>
        <w:rPr>
          <w:rFonts w:hint="eastAsia"/>
          <w:szCs w:val="21"/>
        </w:rPr>
        <w:t xml:space="preserve"> </w:t>
      </w:r>
      <w:r>
        <w:rPr>
          <w:szCs w:val="21"/>
        </w:rPr>
        <w:t>solution</w:t>
      </w:r>
      <w:r>
        <w:rPr>
          <w:rFonts w:hint="eastAsia"/>
          <w:szCs w:val="21"/>
        </w:rPr>
        <w:t xml:space="preserve"> to reduc</w:t>
      </w:r>
      <w:r>
        <w:rPr>
          <w:szCs w:val="21"/>
        </w:rPr>
        <w:t>ing</w:t>
      </w:r>
      <w:r>
        <w:rPr>
          <w:rFonts w:hint="eastAsia"/>
          <w:szCs w:val="21"/>
        </w:rPr>
        <w:t xml:space="preserve"> base station power consumption.</w:t>
      </w:r>
    </w:p>
    <w:p>
      <w:pPr>
        <w:spacing w:before="120" w:after="120" w:line="260" w:lineRule="auto"/>
        <w:rPr>
          <w:szCs w:val="21"/>
        </w:rPr>
      </w:pPr>
      <w:r>
        <w:rPr>
          <w:rFonts w:hint="eastAsia"/>
          <w:szCs w:val="21"/>
        </w:rPr>
        <w:t xml:space="preserve">As </w:t>
      </w:r>
      <w:r>
        <w:rPr>
          <w:szCs w:val="21"/>
        </w:rPr>
        <w:t xml:space="preserve">shown in </w:t>
      </w:r>
      <w:r>
        <w:rPr>
          <w:szCs w:val="21"/>
        </w:rPr>
        <w:fldChar w:fldCharType="begin"/>
      </w:r>
      <w:r>
        <w:rPr>
          <w:szCs w:val="21"/>
        </w:rPr>
        <w:instrText xml:space="preserve"> REF _Ref9720 \h  \* MERGEFORMAT </w:instrText>
      </w:r>
      <w:r>
        <w:rPr>
          <w:szCs w:val="21"/>
        </w:rPr>
        <w:fldChar w:fldCharType="separate"/>
      </w:r>
      <w:r>
        <w:rPr>
          <w:szCs w:val="21"/>
        </w:rPr>
        <w:t xml:space="preserve">Figure </w:t>
      </w:r>
      <w:r>
        <w:rPr>
          <w:szCs w:val="21"/>
        </w:rPr>
        <w:fldChar w:fldCharType="end"/>
      </w:r>
      <w:r>
        <w:rPr>
          <w:szCs w:val="21"/>
        </w:rPr>
        <w:t xml:space="preserve">4, the SCell can be implemented as an SSB-less SCell or SSB-limited SCell for network energy saving. In Release 15, SCell without SSB is supported for intra-band CA [5]. For inter-band CA, the RF chains and other processing units between different cells are decoupled at network side. Therefore, if the SSB transmission in the inter-band SCell can be reduced or even eliminated, </w:t>
      </w:r>
      <w:r>
        <w:rPr>
          <w:rFonts w:hint="eastAsia"/>
          <w:szCs w:val="21"/>
        </w:rPr>
        <w:t xml:space="preserve">the corresponding components can be muted, </w:t>
      </w:r>
      <w:r>
        <w:rPr>
          <w:szCs w:val="21"/>
        </w:rPr>
        <w:t>network can obtain more energy saving benefits.</w:t>
      </w:r>
      <w:r>
        <w:rPr>
          <w:rFonts w:hint="eastAsia"/>
          <w:szCs w:val="21"/>
        </w:rPr>
        <w:t xml:space="preserve"> </w:t>
      </w:r>
    </w:p>
    <w:p>
      <w:pPr>
        <w:pStyle w:val="28"/>
        <w:tabs>
          <w:tab w:val="clear" w:pos="420"/>
          <w:tab w:val="clear" w:pos="4820"/>
        </w:tabs>
        <w:adjustRightInd w:val="0"/>
        <w:snapToGrid w:val="0"/>
        <w:spacing w:before="120" w:after="120"/>
        <w:ind w:left="0"/>
      </w:pPr>
      <w:bookmarkStart w:id="62" w:name="_Toc6955"/>
      <w:bookmarkStart w:id="63" w:name="_Toc24552"/>
      <w:bookmarkStart w:id="64" w:name="_Toc7855"/>
      <w:bookmarkStart w:id="65" w:name="_Toc18863"/>
      <w:bookmarkStart w:id="66" w:name="_Toc18242"/>
      <w:r>
        <w:t>SSB-less SCell or SSB-limited SCell is beneficial to network energy saving.</w:t>
      </w:r>
      <w:bookmarkEnd w:id="62"/>
      <w:bookmarkEnd w:id="63"/>
      <w:bookmarkEnd w:id="64"/>
      <w:bookmarkEnd w:id="65"/>
      <w:bookmarkEnd w:id="66"/>
    </w:p>
    <w:p>
      <w:pPr>
        <w:spacing w:before="120" w:after="120" w:line="260" w:lineRule="auto"/>
        <w:rPr>
          <w:szCs w:val="21"/>
        </w:rPr>
      </w:pPr>
    </w:p>
    <w:p>
      <w:pPr>
        <w:numPr>
          <w:ilvl w:val="255"/>
          <w:numId w:val="0"/>
        </w:numPr>
        <w:spacing w:before="120" w:after="120" w:line="260" w:lineRule="auto"/>
        <w:jc w:val="center"/>
        <w:rPr>
          <w:sz w:val="20"/>
        </w:rPr>
      </w:pPr>
      <w:r>
        <w:drawing>
          <wp:inline distT="0" distB="0" distL="114300" distR="114300">
            <wp:extent cx="5404485" cy="2030095"/>
            <wp:effectExtent l="0" t="0" r="5715" b="1206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4"/>
                    <a:stretch>
                      <a:fillRect/>
                    </a:stretch>
                  </pic:blipFill>
                  <pic:spPr>
                    <a:xfrm>
                      <a:off x="0" y="0"/>
                      <a:ext cx="5404485" cy="2030095"/>
                    </a:xfrm>
                    <a:prstGeom prst="rect">
                      <a:avLst/>
                    </a:prstGeom>
                    <a:noFill/>
                    <a:ln>
                      <a:noFill/>
                    </a:ln>
                  </pic:spPr>
                </pic:pic>
              </a:graphicData>
            </a:graphic>
          </wp:inline>
        </w:drawing>
      </w:r>
    </w:p>
    <w:p>
      <w:pPr>
        <w:spacing w:before="120" w:after="120"/>
        <w:jc w:val="center"/>
        <w:rPr>
          <w:szCs w:val="21"/>
        </w:rPr>
      </w:pPr>
      <w:r>
        <w:rPr>
          <w:szCs w:val="21"/>
        </w:rPr>
        <w:t>Figure 4 SSB-limited or SSB-less SCell in CA</w:t>
      </w:r>
    </w:p>
    <w:p>
      <w:pPr>
        <w:spacing w:before="120" w:after="120"/>
        <w:rPr>
          <w:szCs w:val="21"/>
        </w:rPr>
      </w:pPr>
      <w:r>
        <w:rPr>
          <w:szCs w:val="21"/>
        </w:rPr>
        <w:t>According to the simulation assumptions in [4],</w:t>
      </w:r>
      <w:r>
        <w:rPr>
          <w:rFonts w:hint="eastAsia"/>
          <w:szCs w:val="21"/>
        </w:rPr>
        <w:t xml:space="preserve"> the simulation results with SSB-less</w:t>
      </w:r>
      <w:r>
        <w:rPr>
          <w:szCs w:val="21"/>
        </w:rPr>
        <w:t xml:space="preserve"> SCell</w:t>
      </w:r>
      <w:r>
        <w:rPr>
          <w:rFonts w:hint="eastAsia"/>
          <w:szCs w:val="21"/>
        </w:rPr>
        <w:t xml:space="preserve"> are provided</w:t>
      </w:r>
      <w:r>
        <w:rPr>
          <w:szCs w:val="21"/>
        </w:rPr>
        <w:t xml:space="preserve"> in Figure </w:t>
      </w:r>
      <w:r>
        <w:rPr>
          <w:rFonts w:hint="eastAsia"/>
          <w:szCs w:val="21"/>
        </w:rPr>
        <w:t>5.</w:t>
      </w:r>
      <w:r>
        <w:rPr>
          <w:szCs w:val="21"/>
        </w:rPr>
        <w:t xml:space="preserve"> </w:t>
      </w:r>
    </w:p>
    <w:p>
      <w:pPr>
        <w:spacing w:before="120" w:after="120"/>
        <w:jc w:val="center"/>
      </w:pPr>
      <w:r>
        <w:drawing>
          <wp:inline distT="0" distB="0" distL="114300" distR="114300">
            <wp:extent cx="2879725" cy="2160270"/>
            <wp:effectExtent l="4445" t="4445" r="11430" b="6985"/>
            <wp:docPr id="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drawing>
          <wp:inline distT="0" distB="0" distL="114300" distR="114300">
            <wp:extent cx="2879725" cy="2160270"/>
            <wp:effectExtent l="4445" t="4445" r="11430" b="6985"/>
            <wp:docPr id="1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before="120" w:after="120"/>
        <w:jc w:val="center"/>
        <w:rPr>
          <w:szCs w:val="21"/>
        </w:rPr>
      </w:pPr>
      <w:r>
        <w:rPr>
          <w:szCs w:val="21"/>
        </w:rPr>
        <w:t xml:space="preserve">Figure </w:t>
      </w:r>
      <w:r>
        <w:rPr>
          <w:rFonts w:hint="eastAsia"/>
          <w:szCs w:val="21"/>
        </w:rPr>
        <w:t>5</w:t>
      </w:r>
      <w:r>
        <w:rPr>
          <w:szCs w:val="21"/>
        </w:rPr>
        <w:t xml:space="preserve"> Evaluation results</w:t>
      </w:r>
      <w:r>
        <w:rPr>
          <w:rFonts w:hint="eastAsia"/>
          <w:szCs w:val="21"/>
        </w:rPr>
        <w:t xml:space="preserve"> of </w:t>
      </w:r>
      <w:r>
        <w:rPr>
          <w:szCs w:val="21"/>
        </w:rPr>
        <w:t>SSB-less for inter-band CA</w:t>
      </w:r>
    </w:p>
    <w:p>
      <w:pPr>
        <w:spacing w:before="120" w:after="120"/>
      </w:pPr>
      <w:r>
        <w:rPr>
          <w:rFonts w:hint="eastAsia"/>
        </w:rPr>
        <w:t xml:space="preserve">As shown in </w:t>
      </w:r>
      <w:r>
        <w:rPr>
          <w:rFonts w:hint="eastAsia"/>
          <w:szCs w:val="21"/>
        </w:rPr>
        <w:t xml:space="preserve">Figure </w:t>
      </w:r>
      <w:r>
        <w:rPr>
          <w:szCs w:val="21"/>
        </w:rPr>
        <w:t>5</w:t>
      </w:r>
      <w:r>
        <w:rPr>
          <w:rFonts w:hint="eastAsia"/>
          <w:szCs w:val="21"/>
        </w:rPr>
        <w:t xml:space="preserve">, </w:t>
      </w:r>
      <w:r>
        <w:rPr>
          <w:szCs w:val="21"/>
        </w:rPr>
        <w:t>the</w:t>
      </w:r>
      <w:r>
        <w:rPr>
          <w:rFonts w:hint="eastAsia"/>
          <w:szCs w:val="21"/>
        </w:rPr>
        <w:t xml:space="preserve"> SSB-less </w:t>
      </w:r>
      <w:r>
        <w:rPr>
          <w:szCs w:val="21"/>
        </w:rPr>
        <w:t xml:space="preserve">SCell </w:t>
      </w:r>
      <w:r>
        <w:rPr>
          <w:rFonts w:hint="eastAsia"/>
          <w:szCs w:val="21"/>
        </w:rPr>
        <w:t xml:space="preserve">scheme can obtain </w:t>
      </w:r>
      <w:r>
        <w:rPr>
          <w:rFonts w:hint="eastAsia"/>
          <w:iCs/>
          <w:szCs w:val="21"/>
        </w:rPr>
        <w:t>5</w:t>
      </w:r>
      <w:r>
        <w:rPr>
          <w:iCs/>
          <w:szCs w:val="21"/>
        </w:rPr>
        <w:t>%~</w:t>
      </w:r>
      <w:r>
        <w:rPr>
          <w:rFonts w:hint="eastAsia"/>
          <w:iCs/>
          <w:szCs w:val="21"/>
        </w:rPr>
        <w:t>14.8</w:t>
      </w:r>
      <w:r>
        <w:rPr>
          <w:iCs/>
          <w:szCs w:val="21"/>
        </w:rPr>
        <w:t>%</w:t>
      </w:r>
      <w:r>
        <w:rPr>
          <w:szCs w:val="21"/>
          <w:lang w:bidi="ar"/>
        </w:rPr>
        <w:t xml:space="preserve"> energy saving gain in the cases of RU=</w:t>
      </w:r>
      <w:r>
        <w:rPr>
          <w:rFonts w:hint="eastAsia"/>
          <w:iCs/>
          <w:szCs w:val="21"/>
        </w:rPr>
        <w:t>5</w:t>
      </w:r>
      <w:r>
        <w:rPr>
          <w:iCs/>
          <w:szCs w:val="21"/>
        </w:rPr>
        <w:t>%~</w:t>
      </w:r>
      <w:r>
        <w:rPr>
          <w:rFonts w:hint="eastAsia"/>
          <w:iCs/>
          <w:szCs w:val="21"/>
        </w:rPr>
        <w:t>25</w:t>
      </w:r>
      <w:r>
        <w:rPr>
          <w:iCs/>
          <w:szCs w:val="21"/>
        </w:rPr>
        <w:t>%</w:t>
      </w:r>
      <w:r>
        <w:rPr>
          <w:rFonts w:hint="eastAsia"/>
          <w:iCs/>
          <w:szCs w:val="21"/>
        </w:rPr>
        <w:t xml:space="preserve"> for TDD and 9.4%~26.4% energy saving gain in the case of RU=5%~15% for FDD</w:t>
      </w:r>
      <w:r>
        <w:rPr>
          <w:rFonts w:hint="eastAsia"/>
          <w:szCs w:val="21"/>
        </w:rPr>
        <w:t xml:space="preserve">. </w:t>
      </w:r>
      <w:r>
        <w:rPr>
          <w:szCs w:val="21"/>
        </w:rPr>
        <w:t>It can be also observed that the SSB-less SCell can provide higher UPT due to the SSB overhead reduction.</w:t>
      </w:r>
    </w:p>
    <w:p>
      <w:pPr>
        <w:pStyle w:val="28"/>
        <w:tabs>
          <w:tab w:val="clear" w:pos="420"/>
          <w:tab w:val="clear" w:pos="4820"/>
        </w:tabs>
        <w:adjustRightInd w:val="0"/>
        <w:snapToGrid w:val="0"/>
        <w:spacing w:before="120" w:after="120"/>
        <w:ind w:left="0"/>
      </w:pPr>
      <w:bookmarkStart w:id="67" w:name="_Toc25355"/>
      <w:bookmarkStart w:id="68" w:name="_Toc15733"/>
      <w:bookmarkStart w:id="69" w:name="_Toc7895"/>
      <w:bookmarkStart w:id="70" w:name="_Toc12719"/>
      <w:r>
        <w:t>The SSB-less SCell scheme can obtain 5%~</w:t>
      </w:r>
      <w:r>
        <w:rPr>
          <w:lang w:val="en-US" w:eastAsia="zh-CN"/>
        </w:rPr>
        <w:t>14.8</w:t>
      </w:r>
      <w:r>
        <w:t>%</w:t>
      </w:r>
      <w:r>
        <w:rPr>
          <w:lang w:bidi="ar"/>
        </w:rPr>
        <w:t xml:space="preserve"> energy saving gain in the cases of RU=</w:t>
      </w:r>
      <w:r>
        <w:rPr>
          <w:lang w:val="en-US" w:eastAsia="zh-CN"/>
        </w:rPr>
        <w:t>5</w:t>
      </w:r>
      <w:r>
        <w:t>%~</w:t>
      </w:r>
      <w:r>
        <w:rPr>
          <w:lang w:val="en-US" w:eastAsia="zh-CN"/>
        </w:rPr>
        <w:t>25</w:t>
      </w:r>
      <w:r>
        <w:t>%</w:t>
      </w:r>
      <w:r>
        <w:rPr>
          <w:lang w:val="en-US" w:eastAsia="zh-CN"/>
        </w:rPr>
        <w:t xml:space="preserve"> for TDD and 9.4%~26.4% energy saving gain in the case of RU=5%~15% for FDD</w:t>
      </w:r>
      <w:r>
        <w:t>.</w:t>
      </w:r>
      <w:bookmarkEnd w:id="67"/>
      <w:bookmarkEnd w:id="68"/>
      <w:bookmarkEnd w:id="69"/>
      <w:bookmarkEnd w:id="70"/>
    </w:p>
    <w:p>
      <w:pPr>
        <w:spacing w:before="120" w:after="120"/>
        <w:rPr>
          <w:iCs/>
          <w:szCs w:val="21"/>
        </w:rPr>
      </w:pPr>
      <w:r>
        <w:rPr>
          <w:iCs/>
        </w:rPr>
        <w:t xml:space="preserve">Based on the </w:t>
      </w:r>
      <w:r>
        <w:t>evaluation results, we have the following proposal.</w:t>
      </w:r>
    </w:p>
    <w:p>
      <w:pPr>
        <w:pStyle w:val="29"/>
        <w:spacing w:before="120" w:after="120"/>
        <w:rPr>
          <w:lang w:val="en-US" w:eastAsia="zh-CN"/>
        </w:rPr>
      </w:pPr>
      <w:bookmarkStart w:id="71" w:name="_Toc27395"/>
      <w:bookmarkStart w:id="72" w:name="_Toc24668"/>
      <w:bookmarkStart w:id="73" w:name="_Toc19985"/>
      <w:bookmarkStart w:id="74" w:name="_Toc1113"/>
      <w:r>
        <w:rPr>
          <w:rFonts w:hint="eastAsia"/>
        </w:rPr>
        <w:t>SSB-less SCell should be supported for inter-band CA</w:t>
      </w:r>
      <w:r>
        <w:rPr>
          <w:rFonts w:hint="eastAsia"/>
          <w:lang w:val="en-US" w:eastAsia="zh-CN"/>
        </w:rPr>
        <w:t>.</w:t>
      </w:r>
      <w:bookmarkEnd w:id="71"/>
      <w:bookmarkEnd w:id="72"/>
      <w:bookmarkEnd w:id="73"/>
      <w:bookmarkEnd w:id="74"/>
      <w:r>
        <w:rPr>
          <w:rFonts w:hint="eastAsia"/>
          <w:lang w:val="en-US" w:eastAsia="zh-CN"/>
        </w:rPr>
        <w:t xml:space="preserve"> </w:t>
      </w:r>
    </w:p>
    <w:p>
      <w:pPr>
        <w:spacing w:before="120" w:after="120" w:line="2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When there is no SSB transmitted on the SCell, </w:t>
      </w:r>
      <w:r>
        <w:rPr>
          <w:color w:val="000000" w:themeColor="text1"/>
          <w:szCs w:val="21"/>
          <w14:textFill>
            <w14:solidFill>
              <w14:schemeClr w14:val="tx1"/>
            </w14:solidFill>
          </w14:textFill>
        </w:rPr>
        <w:t>UEs’</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acquisition of</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synchronization and timing, etc., were discussed in previous meetings</w:t>
      </w:r>
      <w:r>
        <w:rPr>
          <w:rFonts w:hint="eastAsia"/>
          <w:color w:val="000000" w:themeColor="text1"/>
          <w:szCs w:val="21"/>
          <w14:textFill>
            <w14:solidFill>
              <w14:schemeClr w14:val="tx1"/>
            </w14:solidFill>
          </w14:textFill>
        </w:rPr>
        <w:t xml:space="preserve">. </w:t>
      </w:r>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Based on current B</w:t>
      </w:r>
      <w:r>
        <w:rPr>
          <w:rFonts w:hint="eastAsia"/>
          <w:color w:val="000000" w:themeColor="text1"/>
          <w:szCs w:val="21"/>
          <w14:textFill>
            <w14:solidFill>
              <w14:schemeClr w14:val="tx1"/>
            </w14:solidFill>
          </w14:textFill>
        </w:rPr>
        <w:t>S</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imp</w:t>
      </w:r>
      <w:r>
        <w:rPr>
          <w:color w:val="000000" w:themeColor="text1"/>
          <w:szCs w:val="21"/>
          <w14:textFill>
            <w14:solidFill>
              <w14:schemeClr w14:val="tx1"/>
            </w14:solidFill>
          </w14:textFill>
        </w:rPr>
        <w:t>lementation</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even for inter-band CA, high time synchronization accuracy </w:t>
      </w:r>
      <w:r>
        <w:rPr>
          <w:rFonts w:hint="eastAsia"/>
          <w:color w:val="000000" w:themeColor="text1"/>
          <w:szCs w:val="21"/>
          <w14:textFill>
            <w14:solidFill>
              <w14:schemeClr w14:val="tx1"/>
            </w14:solidFill>
          </w14:textFill>
        </w:rPr>
        <w:t xml:space="preserve">between </w:t>
      </w:r>
      <w:r>
        <w:rPr>
          <w:color w:val="000000" w:themeColor="text1"/>
          <w:szCs w:val="21"/>
          <w14:textFill>
            <w14:solidFill>
              <w14:schemeClr w14:val="tx1"/>
            </w14:solidFill>
          </w14:textFill>
        </w:rPr>
        <w:t xml:space="preserve">the cells in </w:t>
      </w:r>
      <w:r>
        <w:rPr>
          <w:rFonts w:hint="eastAsia"/>
          <w:color w:val="000000" w:themeColor="text1"/>
          <w:szCs w:val="21"/>
          <w14:textFill>
            <w14:solidFill>
              <w14:schemeClr w14:val="tx1"/>
            </w14:solidFill>
          </w14:textFill>
        </w:rPr>
        <w:t xml:space="preserve">different bands </w:t>
      </w:r>
      <w:r>
        <w:rPr>
          <w:color w:val="000000" w:themeColor="text1"/>
          <w:szCs w:val="21"/>
          <w14:textFill>
            <w14:solidFill>
              <w14:schemeClr w14:val="tx1"/>
            </w14:solidFill>
          </w14:textFill>
        </w:rPr>
        <w:t>can be achieved. To be specific, the</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t</w:t>
      </w:r>
      <w:r>
        <w:rPr>
          <w:rFonts w:hint="eastAsia"/>
          <w:color w:val="000000" w:themeColor="text1"/>
          <w:szCs w:val="21"/>
          <w14:textFill>
            <w14:solidFill>
              <w14:schemeClr w14:val="tx1"/>
            </w14:solidFill>
          </w14:textFill>
        </w:rPr>
        <w:t xml:space="preserve">iming alignment performance </w:t>
      </w:r>
      <w:r>
        <w:rPr>
          <w:color w:val="000000" w:themeColor="text1"/>
          <w:szCs w:val="21"/>
          <w14:textFill>
            <w14:solidFill>
              <w14:schemeClr w14:val="tx1"/>
            </w14:solidFill>
          </w14:textFill>
        </w:rPr>
        <w:t>for inter-band CA is</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comparable with</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RAN4 requirements for intra-band CA.</w:t>
      </w:r>
      <w:r>
        <w:rPr>
          <w:rFonts w:hint="eastAsia"/>
          <w:color w:val="000000" w:themeColor="text1"/>
          <w:szCs w:val="21"/>
          <w14:textFill>
            <w14:solidFill>
              <w14:schemeClr w14:val="tx1"/>
            </w14:solidFill>
          </w14:textFill>
        </w:rPr>
        <w:t xml:space="preserve"> Especially for the case that the </w:t>
      </w:r>
      <w:r>
        <w:rPr>
          <w:color w:val="000000" w:themeColor="text1"/>
          <w:szCs w:val="21"/>
          <w14:textFill>
            <w14:solidFill>
              <w14:schemeClr w14:val="tx1"/>
            </w14:solidFill>
          </w14:textFill>
        </w:rPr>
        <w:t xml:space="preserve">SSB-less </w:t>
      </w:r>
      <w:r>
        <w:rPr>
          <w:rFonts w:hint="eastAsia"/>
          <w:color w:val="000000" w:themeColor="text1"/>
          <w:szCs w:val="21"/>
          <w14:textFill>
            <w14:solidFill>
              <w14:schemeClr w14:val="tx1"/>
            </w14:solidFill>
          </w14:textFill>
        </w:rPr>
        <w:t xml:space="preserve">SCell is </w:t>
      </w:r>
      <w:r>
        <w:rPr>
          <w:color w:val="000000" w:themeColor="text1"/>
          <w:szCs w:val="21"/>
          <w14:textFill>
            <w14:solidFill>
              <w14:schemeClr w14:val="tx1"/>
            </w14:solidFill>
          </w14:textFill>
        </w:rPr>
        <w:t>i</w:t>
      </w:r>
      <w:r>
        <w:rPr>
          <w:rFonts w:hint="eastAsia"/>
          <w:color w:val="000000" w:themeColor="text1"/>
          <w:szCs w:val="21"/>
          <w14:textFill>
            <w14:solidFill>
              <w14:schemeClr w14:val="tx1"/>
            </w14:solidFill>
          </w14:textFill>
        </w:rPr>
        <w:t>n the same TAG with SpCell</w:t>
      </w:r>
      <w:r>
        <w:rPr>
          <w:color w:val="000000" w:themeColor="text1"/>
          <w:szCs w:val="21"/>
          <w14:textFill>
            <w14:solidFill>
              <w14:schemeClr w14:val="tx1"/>
            </w14:solidFill>
          </w14:textFill>
        </w:rPr>
        <w:t xml:space="preserve"> or </w:t>
      </w:r>
      <w:r>
        <w:rPr>
          <w:rFonts w:hint="eastAsia"/>
          <w:color w:val="000000" w:themeColor="text1"/>
          <w:szCs w:val="21"/>
          <w14:textFill>
            <w14:solidFill>
              <w14:schemeClr w14:val="tx1"/>
            </w14:solidFill>
          </w14:textFill>
        </w:rPr>
        <w:t>a normal SCell, the TA will be maintained based on the SpCell</w:t>
      </w:r>
      <w:r>
        <w:rPr>
          <w:color w:val="000000" w:themeColor="text1"/>
          <w:szCs w:val="21"/>
          <w14:textFill>
            <w14:solidFill>
              <w14:schemeClr w14:val="tx1"/>
            </w14:solidFill>
          </w14:textFill>
        </w:rPr>
        <w:t xml:space="preserve"> or the</w:t>
      </w:r>
      <w:r>
        <w:rPr>
          <w:rFonts w:hint="eastAsia"/>
          <w:color w:val="000000" w:themeColor="text1"/>
          <w:szCs w:val="21"/>
          <w14:textFill>
            <w14:solidFill>
              <w14:schemeClr w14:val="tx1"/>
            </w14:solidFill>
          </w14:textFill>
        </w:rPr>
        <w:t xml:space="preserve"> normal SCell in the same TAG, which can be ensured by NW implementation. </w:t>
      </w:r>
      <w:r>
        <w:rPr>
          <w:color w:val="000000" w:themeColor="text1"/>
          <w:szCs w:val="21"/>
          <w14:textFill>
            <w14:solidFill>
              <w14:schemeClr w14:val="tx1"/>
            </w14:solidFill>
          </w14:textFill>
        </w:rPr>
        <w:t>With these assumptions,</w:t>
      </w:r>
      <w:r>
        <w:rPr>
          <w:rFonts w:hint="eastAsia"/>
          <w:color w:val="000000" w:themeColor="text1"/>
          <w:szCs w:val="21"/>
          <w14:textFill>
            <w14:solidFill>
              <w14:schemeClr w14:val="tx1"/>
            </w14:solidFill>
          </w14:textFill>
        </w:rPr>
        <w:t xml:space="preserve"> the timing of </w:t>
      </w:r>
      <w:r>
        <w:rPr>
          <w:color w:val="000000" w:themeColor="text1"/>
          <w:szCs w:val="21"/>
          <w14:textFill>
            <w14:solidFill>
              <w14:schemeClr w14:val="tx1"/>
            </w14:solidFill>
          </w14:textFill>
        </w:rPr>
        <w:t xml:space="preserve">SSB-less </w:t>
      </w:r>
      <w:r>
        <w:rPr>
          <w:rFonts w:hint="eastAsia"/>
          <w:color w:val="000000" w:themeColor="text1"/>
          <w:szCs w:val="21"/>
          <w14:textFill>
            <w14:solidFill>
              <w14:schemeClr w14:val="tx1"/>
            </w14:solidFill>
          </w14:textFill>
        </w:rPr>
        <w:t>SCell c</w:t>
      </w:r>
      <w:r>
        <w:rPr>
          <w:color w:val="000000" w:themeColor="text1"/>
          <w:szCs w:val="21"/>
          <w14:textFill>
            <w14:solidFill>
              <w14:schemeClr w14:val="tx1"/>
            </w14:solidFill>
          </w14:textFill>
        </w:rPr>
        <w:t>an</w:t>
      </w:r>
      <w:r>
        <w:rPr>
          <w:rFonts w:hint="eastAsia"/>
          <w:color w:val="000000" w:themeColor="text1"/>
          <w:szCs w:val="21"/>
          <w14:textFill>
            <w14:solidFill>
              <w14:schemeClr w14:val="tx1"/>
            </w14:solidFill>
          </w14:textFill>
        </w:rPr>
        <w:t xml:space="preserve"> directly </w:t>
      </w:r>
      <w:r>
        <w:rPr>
          <w:color w:val="000000" w:themeColor="text1"/>
          <w:szCs w:val="21"/>
          <w14:textFill>
            <w14:solidFill>
              <w14:schemeClr w14:val="tx1"/>
            </w14:solidFill>
          </w14:textFill>
        </w:rPr>
        <w:t>refer to</w:t>
      </w:r>
      <w:r>
        <w:rPr>
          <w:rFonts w:hint="eastAsia"/>
          <w:color w:val="000000" w:themeColor="text1"/>
          <w:szCs w:val="21"/>
          <w14:textFill>
            <w14:solidFill>
              <w14:schemeClr w14:val="tx1"/>
            </w14:solidFill>
          </w14:textFill>
        </w:rPr>
        <w:t xml:space="preserve"> another cell</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(e.g. SpCell</w:t>
      </w:r>
      <w:r>
        <w:rPr>
          <w:color w:val="000000" w:themeColor="text1"/>
          <w:szCs w:val="21"/>
          <w14:textFill>
            <w14:solidFill>
              <w14:schemeClr w14:val="tx1"/>
            </w14:solidFill>
          </w14:textFill>
        </w:rPr>
        <w:t xml:space="preserve"> or other SCell with SSB</w:t>
      </w:r>
      <w:r>
        <w:rPr>
          <w:rFonts w:hint="eastAsia"/>
          <w:color w:val="000000" w:themeColor="text1"/>
          <w:szCs w:val="21"/>
          <w14:textFill>
            <w14:solidFill>
              <w14:schemeClr w14:val="tx1"/>
            </w14:solidFill>
          </w14:textFill>
        </w:rPr>
        <w:t xml:space="preserve">). </w:t>
      </w:r>
    </w:p>
    <w:p>
      <w:pPr>
        <w:pStyle w:val="28"/>
        <w:tabs>
          <w:tab w:val="clear" w:pos="420"/>
          <w:tab w:val="clear" w:pos="4820"/>
        </w:tabs>
        <w:adjustRightInd w:val="0"/>
        <w:snapToGrid w:val="0"/>
        <w:spacing w:before="120" w:after="120"/>
        <w:ind w:left="0"/>
      </w:pPr>
      <w:bookmarkStart w:id="75" w:name="_Toc21270"/>
      <w:bookmarkStart w:id="76" w:name="_Toc23187"/>
      <w:bookmarkStart w:id="77" w:name="_Toc16103"/>
      <w:bookmarkStart w:id="78" w:name="_Toc163"/>
      <w:bookmarkStart w:id="79" w:name="_Toc23079"/>
      <w:r>
        <w:t>The synchronization and TA issue of SSB-less SCell can be handled by NW implementation.</w:t>
      </w:r>
      <w:bookmarkEnd w:id="75"/>
      <w:bookmarkEnd w:id="76"/>
      <w:bookmarkEnd w:id="77"/>
      <w:bookmarkEnd w:id="78"/>
      <w:bookmarkEnd w:id="79"/>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The necessity of the transmission of other reference signal, such as TRS, for synchronization and AGC adjustment also needs discussion. At least in the case that there is no </w:t>
      </w:r>
      <w:r>
        <w:rPr>
          <w:rFonts w:hint="eastAsia"/>
          <w:color w:val="000000" w:themeColor="text1"/>
          <w:szCs w:val="21"/>
          <w14:textFill>
            <w14:solidFill>
              <w14:schemeClr w14:val="tx1"/>
            </w14:solidFill>
          </w14:textFill>
        </w:rPr>
        <w:t>DL traffic</w:t>
      </w:r>
      <w:r>
        <w:rPr>
          <w:color w:val="000000" w:themeColor="text1"/>
          <w:szCs w:val="21"/>
          <w14:textFill>
            <w14:solidFill>
              <w14:schemeClr w14:val="tx1"/>
            </w14:solidFill>
          </w14:textFill>
        </w:rPr>
        <w:t xml:space="preserve"> in </w:t>
      </w:r>
      <w:r>
        <w:rPr>
          <w:rFonts w:hint="eastAsia"/>
          <w:color w:val="000000" w:themeColor="text1"/>
          <w:szCs w:val="21"/>
          <w14:textFill>
            <w14:solidFill>
              <w14:schemeClr w14:val="tx1"/>
            </w14:solidFill>
          </w14:textFill>
        </w:rPr>
        <w:t>the SCell without</w:t>
      </w:r>
      <w:r>
        <w:rPr>
          <w:color w:val="000000" w:themeColor="text1"/>
          <w:szCs w:val="21"/>
          <w14:textFill>
            <w14:solidFill>
              <w14:schemeClr w14:val="tx1"/>
            </w14:solidFill>
          </w14:textFill>
        </w:rPr>
        <w:t xml:space="preserve"> SSB</w:t>
      </w:r>
      <w:r>
        <w:rPr>
          <w:rFonts w:hint="eastAsia"/>
          <w:color w:val="000000" w:themeColor="text1"/>
          <w:szCs w:val="21"/>
          <w14:textFill>
            <w14:solidFill>
              <w14:schemeClr w14:val="tx1"/>
            </w14:solidFill>
          </w14:textFill>
        </w:rPr>
        <w:t>, the</w:t>
      </w:r>
      <w:r>
        <w:rPr>
          <w:color w:val="000000" w:themeColor="text1"/>
          <w:szCs w:val="21"/>
          <w14:textFill>
            <w14:solidFill>
              <w14:schemeClr w14:val="tx1"/>
            </w14:solidFill>
          </w14:textFill>
        </w:rPr>
        <w:t xml:space="preserve"> operations of</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DL synchronization and </w:t>
      </w:r>
      <w:r>
        <w:rPr>
          <w:rFonts w:hint="eastAsia"/>
          <w:color w:val="000000" w:themeColor="text1"/>
          <w:szCs w:val="21"/>
          <w14:textFill>
            <w14:solidFill>
              <w14:schemeClr w14:val="tx1"/>
            </w14:solidFill>
          </w14:textFill>
        </w:rPr>
        <w:t xml:space="preserve">AGC </w:t>
      </w:r>
      <w:r>
        <w:rPr>
          <w:color w:val="000000" w:themeColor="text1"/>
          <w:szCs w:val="21"/>
          <w14:textFill>
            <w14:solidFill>
              <w14:schemeClr w14:val="tx1"/>
            </w14:solidFill>
          </w14:textFill>
        </w:rPr>
        <w:t xml:space="preserve">correction </w:t>
      </w:r>
      <w:r>
        <w:rPr>
          <w:rFonts w:hint="eastAsia"/>
          <w:color w:val="000000" w:themeColor="text1"/>
          <w:szCs w:val="21"/>
          <w14:textFill>
            <w14:solidFill>
              <w14:schemeClr w14:val="tx1"/>
            </w14:solidFill>
          </w14:textFill>
        </w:rPr>
        <w:t>can be omitted.</w:t>
      </w:r>
      <w:r>
        <w:rPr>
          <w:color w:val="000000" w:themeColor="text1"/>
          <w:szCs w:val="21"/>
          <w14:textFill>
            <w14:solidFill>
              <w14:schemeClr w14:val="tx1"/>
            </w14:solidFill>
          </w14:textFill>
        </w:rPr>
        <w:t xml:space="preserve"> In another case, SSB-less SCell can be implemented in a neighboring band with </w:t>
      </w:r>
      <w:r>
        <w:rPr>
          <w:rFonts w:hint="eastAsia"/>
          <w:color w:val="000000" w:themeColor="text1"/>
          <w:szCs w:val="21"/>
          <w14:textFill>
            <w14:solidFill>
              <w14:schemeClr w14:val="tx1"/>
            </w14:solidFill>
          </w14:textFill>
        </w:rPr>
        <w:t>SpCell</w:t>
      </w:r>
      <w:r>
        <w:rPr>
          <w:color w:val="000000" w:themeColor="text1"/>
          <w:szCs w:val="21"/>
          <w14:textFill>
            <w14:solidFill>
              <w14:schemeClr w14:val="tx1"/>
            </w14:solidFill>
          </w14:textFill>
        </w:rPr>
        <w:t xml:space="preserve"> or other SCell with SSB, so that the synchronization or AGC for SSB-less SCell can rely on the </w:t>
      </w:r>
      <w:r>
        <w:rPr>
          <w:rFonts w:hint="eastAsia"/>
          <w:color w:val="000000" w:themeColor="text1"/>
          <w:szCs w:val="21"/>
          <w14:textFill>
            <w14:solidFill>
              <w14:schemeClr w14:val="tx1"/>
            </w14:solidFill>
          </w14:textFill>
        </w:rPr>
        <w:t>SpCell</w:t>
      </w:r>
      <w:r>
        <w:rPr>
          <w:color w:val="000000" w:themeColor="text1"/>
          <w:szCs w:val="21"/>
          <w14:textFill>
            <w14:solidFill>
              <w14:schemeClr w14:val="tx1"/>
            </w14:solidFill>
          </w14:textFill>
        </w:rPr>
        <w:t xml:space="preserve"> or other SCell with SSB</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even when there is DL traffic. In this case, TRS is not needed for </w:t>
      </w:r>
      <w:r>
        <w:rPr>
          <w:rFonts w:hint="eastAsia"/>
          <w:color w:val="000000" w:themeColor="text1"/>
          <w:szCs w:val="21"/>
          <w14:textFill>
            <w14:solidFill>
              <w14:schemeClr w14:val="tx1"/>
            </w14:solidFill>
          </w14:textFill>
        </w:rPr>
        <w:t xml:space="preserve">the </w:t>
      </w:r>
      <w:r>
        <w:rPr>
          <w:color w:val="000000" w:themeColor="text1"/>
          <w:szCs w:val="21"/>
          <w14:textFill>
            <w14:solidFill>
              <w14:schemeClr w14:val="tx1"/>
            </w14:solidFill>
          </w14:textFill>
        </w:rPr>
        <w:t>SSB-less SCell, either.</w:t>
      </w:r>
    </w:p>
    <w:p>
      <w:pPr>
        <w:pStyle w:val="28"/>
        <w:tabs>
          <w:tab w:val="clear" w:pos="420"/>
          <w:tab w:val="clear" w:pos="4820"/>
        </w:tabs>
        <w:adjustRightInd w:val="0"/>
        <w:snapToGrid w:val="0"/>
        <w:spacing w:before="120" w:after="120"/>
        <w:ind w:left="0"/>
      </w:pPr>
      <w:bookmarkStart w:id="80" w:name="_Toc14591"/>
      <w:bookmarkStart w:id="81" w:name="_Toc20976"/>
      <w:bookmarkStart w:id="82" w:name="_Toc8754"/>
      <w:bookmarkStart w:id="83" w:name="_Toc12805"/>
      <w:bookmarkStart w:id="84" w:name="_Toc14602"/>
      <w:r>
        <w:t>TRS is not needed for the SSB-less SCell at least in the case there is no DL traffic in the SCell.</w:t>
      </w:r>
      <w:bookmarkEnd w:id="80"/>
      <w:bookmarkEnd w:id="81"/>
      <w:bookmarkEnd w:id="82"/>
      <w:bookmarkEnd w:id="83"/>
      <w:bookmarkEnd w:id="84"/>
    </w:p>
    <w:p>
      <w:pPr>
        <w:spacing w:before="120" w:after="120" w:line="260" w:lineRule="auto"/>
        <w:rPr>
          <w:szCs w:val="21"/>
        </w:rPr>
      </w:pPr>
      <w:r>
        <w:rPr>
          <w:szCs w:val="21"/>
        </w:rPr>
        <w:t xml:space="preserve">In the case of SSB-less SCell, the procedure of SCell activation should be considered. In Rel-17, a fast/efficient SCell activation is specified, where aperiodic TRS can be triggered by SCell activation MAC CE. The similar mechanism can be considered for the activation of SSB-less SCell. With support of inter-band SSB-less SCell and fast SCell activation, it can support on-off on an inter-band SCell in frequency domain more dynamically so that it can achieve energy saving while still being able to adapt to varying traffic load. </w:t>
      </w:r>
      <w:r>
        <w:rPr>
          <w:rFonts w:hint="eastAsia"/>
          <w:szCs w:val="21"/>
        </w:rPr>
        <w:t xml:space="preserve">In addition, this can also eliminate unnecessary signals to reduce overhead and interference in the network. Overall, this will significantly increase energy efficiency in the network.  </w:t>
      </w:r>
    </w:p>
    <w:p>
      <w:pPr>
        <w:pStyle w:val="29"/>
        <w:spacing w:before="120" w:after="120"/>
      </w:pPr>
      <w:bookmarkStart w:id="85" w:name="_Toc32582"/>
      <w:bookmarkStart w:id="86" w:name="_Toc12216"/>
      <w:bookmarkStart w:id="87" w:name="_Toc3012"/>
      <w:bookmarkStart w:id="88" w:name="_Toc18014"/>
      <w:bookmarkStart w:id="89" w:name="_Toc16829"/>
      <w:r>
        <w:rPr>
          <w:rFonts w:hint="eastAsia"/>
        </w:rPr>
        <w:t>Aperiodic TRS is triggered only when it is needed in the SCell activation process</w:t>
      </w:r>
      <w:r>
        <w:rPr>
          <w:rFonts w:hint="eastAsia"/>
          <w:lang w:val="en-US" w:eastAsia="zh-CN"/>
        </w:rPr>
        <w:t>.</w:t>
      </w:r>
      <w:bookmarkEnd w:id="85"/>
      <w:bookmarkEnd w:id="86"/>
      <w:bookmarkEnd w:id="87"/>
      <w:bookmarkEnd w:id="88"/>
      <w:bookmarkEnd w:id="89"/>
    </w:p>
    <w:p>
      <w:pPr>
        <w:spacing w:before="120" w:after="120" w:line="260" w:lineRule="auto"/>
        <w:rPr>
          <w:szCs w:val="21"/>
        </w:rPr>
      </w:pPr>
      <w:r>
        <w:rPr>
          <w:rFonts w:hint="eastAsia"/>
          <w:szCs w:val="21"/>
        </w:rPr>
        <w:t>In</w:t>
      </w:r>
      <w:r>
        <w:rPr>
          <w:szCs w:val="21"/>
        </w:rPr>
        <w:t xml:space="preserve"> addition, e</w:t>
      </w:r>
      <w:r>
        <w:rPr>
          <w:rFonts w:hint="eastAsia"/>
          <w:szCs w:val="21"/>
        </w:rPr>
        <w:t xml:space="preserve">ven if TAE performance </w:t>
      </w:r>
      <w:r>
        <w:rPr>
          <w:szCs w:val="21"/>
        </w:rPr>
        <w:t xml:space="preserve">between cells </w:t>
      </w:r>
      <w:r>
        <w:rPr>
          <w:rFonts w:hint="eastAsia"/>
          <w:szCs w:val="21"/>
        </w:rPr>
        <w:t>at network</w:t>
      </w:r>
      <w:r>
        <w:rPr>
          <w:szCs w:val="21"/>
        </w:rPr>
        <w:t xml:space="preserve"> side</w:t>
      </w:r>
      <w:r>
        <w:rPr>
          <w:rFonts w:hint="eastAsia"/>
          <w:szCs w:val="21"/>
        </w:rPr>
        <w:t xml:space="preserve"> is not well sync</w:t>
      </w:r>
      <w:r>
        <w:rPr>
          <w:szCs w:val="21"/>
        </w:rPr>
        <w:t>hronized</w:t>
      </w:r>
      <w:r>
        <w:rPr>
          <w:rFonts w:hint="eastAsia"/>
          <w:szCs w:val="21"/>
        </w:rPr>
        <w:t xml:space="preserve">, solutions to </w:t>
      </w:r>
      <w:r>
        <w:rPr>
          <w:szCs w:val="21"/>
        </w:rPr>
        <w:t>improving</w:t>
      </w:r>
      <w:r>
        <w:rPr>
          <w:rFonts w:hint="eastAsia"/>
          <w:szCs w:val="21"/>
        </w:rPr>
        <w:t xml:space="preserve"> the synchronization</w:t>
      </w:r>
      <w:r>
        <w:rPr>
          <w:szCs w:val="21"/>
        </w:rPr>
        <w:t xml:space="preserve"> performance</w:t>
      </w:r>
      <w:r>
        <w:rPr>
          <w:rFonts w:hint="eastAsia"/>
          <w:szCs w:val="21"/>
        </w:rPr>
        <w:t xml:space="preserve"> of the </w:t>
      </w:r>
      <w:r>
        <w:rPr>
          <w:szCs w:val="21"/>
        </w:rPr>
        <w:t>SSB-less SCell can be considered,</w:t>
      </w:r>
      <w:r>
        <w:rPr>
          <w:rFonts w:hint="eastAsia"/>
          <w:szCs w:val="21"/>
        </w:rPr>
        <w:t xml:space="preserve"> </w:t>
      </w:r>
      <w:r>
        <w:rPr>
          <w:szCs w:val="21"/>
        </w:rPr>
        <w:t>f</w:t>
      </w:r>
      <w:r>
        <w:rPr>
          <w:rFonts w:hint="eastAsia"/>
          <w:szCs w:val="21"/>
        </w:rPr>
        <w:t xml:space="preserve">or example, on-demand RS </w:t>
      </w:r>
      <w:r>
        <w:rPr>
          <w:szCs w:val="21"/>
        </w:rPr>
        <w:t xml:space="preserve">triggered by </w:t>
      </w:r>
      <w:r>
        <w:rPr>
          <w:rFonts w:hint="eastAsia"/>
          <w:szCs w:val="21"/>
        </w:rPr>
        <w:t xml:space="preserve">WUS </w:t>
      </w:r>
      <w:r>
        <w:rPr>
          <w:szCs w:val="21"/>
        </w:rPr>
        <w:t>transmitted by UE</w:t>
      </w:r>
      <w:r>
        <w:rPr>
          <w:rFonts w:hint="eastAsia"/>
          <w:szCs w:val="21"/>
        </w:rPr>
        <w:t xml:space="preserve"> can be transmitted on the SCell for</w:t>
      </w:r>
      <w:r>
        <w:rPr>
          <w:szCs w:val="21"/>
        </w:rPr>
        <w:t xml:space="preserve"> better</w:t>
      </w:r>
      <w:r>
        <w:rPr>
          <w:rFonts w:hint="eastAsia"/>
          <w:szCs w:val="21"/>
        </w:rPr>
        <w:t xml:space="preserve"> synchronization. </w:t>
      </w:r>
    </w:p>
    <w:p>
      <w:pPr>
        <w:pStyle w:val="29"/>
        <w:spacing w:before="120" w:after="120" w:line="260" w:lineRule="auto"/>
        <w:rPr>
          <w:lang w:val="en-US"/>
        </w:rPr>
      </w:pPr>
      <w:bookmarkStart w:id="90" w:name="_Toc18239"/>
      <w:bookmarkStart w:id="91" w:name="_Toc4934"/>
      <w:bookmarkStart w:id="92" w:name="_Toc21070"/>
      <w:bookmarkStart w:id="93" w:name="_Toc9508"/>
      <w:r>
        <w:rPr>
          <w:lang w:val="en-US" w:eastAsia="zh-CN"/>
        </w:rPr>
        <w:t xml:space="preserve">An uplink wake-up mechanism (WUS) can be considered </w:t>
      </w:r>
      <w:r>
        <w:rPr>
          <w:rFonts w:hint="eastAsia"/>
          <w:lang w:val="en-US" w:eastAsia="zh-CN"/>
        </w:rPr>
        <w:t xml:space="preserve">to </w:t>
      </w:r>
      <w:r>
        <w:rPr>
          <w:lang w:val="en-US" w:eastAsia="zh-CN"/>
        </w:rPr>
        <w:t>trigger on-demand RS/SSB transmission in SSB-less SCell</w:t>
      </w:r>
      <w:bookmarkEnd w:id="90"/>
      <w:bookmarkEnd w:id="91"/>
      <w:bookmarkEnd w:id="92"/>
      <w:bookmarkEnd w:id="93"/>
    </w:p>
    <w:p>
      <w:pPr>
        <w:pStyle w:val="5"/>
        <w:spacing w:before="120" w:after="120" w:line="260" w:lineRule="auto"/>
        <w:rPr>
          <w:rFonts w:ascii="Times New Roman" w:hAnsi="Times New Roman"/>
          <w:sz w:val="21"/>
          <w:szCs w:val="21"/>
        </w:rPr>
      </w:pPr>
      <w:r>
        <w:rPr>
          <w:rFonts w:ascii="Times New Roman" w:hAnsi="Times New Roman"/>
          <w:sz w:val="21"/>
          <w:szCs w:val="21"/>
        </w:rPr>
        <w:t xml:space="preserve">Based on the above analysis, we can have the following </w:t>
      </w:r>
      <w:r>
        <w:rPr>
          <w:rFonts w:hint="eastAsia" w:ascii="Times New Roman" w:hAnsi="Times New Roman"/>
          <w:sz w:val="21"/>
          <w:szCs w:val="21"/>
        </w:rPr>
        <w:t>proposal.</w:t>
      </w:r>
    </w:p>
    <w:p>
      <w:pPr>
        <w:pStyle w:val="29"/>
        <w:spacing w:before="120" w:after="120"/>
      </w:pPr>
      <w:bookmarkStart w:id="94" w:name="_Toc25161"/>
      <w:bookmarkStart w:id="95" w:name="_Toc6038"/>
      <w:bookmarkStart w:id="96" w:name="_Toc14931"/>
      <w:bookmarkStart w:id="97" w:name="_Toc6684"/>
      <w:bookmarkStart w:id="98" w:name="_Toc122"/>
      <w:r>
        <w:rPr>
          <w:rFonts w:hint="eastAsia"/>
          <w:lang w:val="en-US" w:eastAsia="zh-CN"/>
        </w:rPr>
        <w:t xml:space="preserve">Capture the following description of </w:t>
      </w:r>
      <w:r>
        <w:rPr>
          <w:rFonts w:hint="eastAsia"/>
        </w:rPr>
        <w:t xml:space="preserve">SSB-less </w:t>
      </w:r>
      <w:r>
        <w:rPr>
          <w:rFonts w:hint="eastAsia"/>
          <w:lang w:val="en-US" w:eastAsia="zh-CN"/>
        </w:rPr>
        <w:t>for inter-band CA</w:t>
      </w:r>
      <w:r>
        <w:rPr>
          <w:lang w:val="en-US" w:eastAsia="zh-CN"/>
        </w:rPr>
        <w:t xml:space="preserve"> </w:t>
      </w:r>
      <w:r>
        <w:rPr>
          <w:rFonts w:hint="eastAsia"/>
          <w:lang w:val="en-US" w:eastAsia="zh-CN"/>
        </w:rPr>
        <w:t>in TR.</w:t>
      </w:r>
      <w:bookmarkEnd w:id="94"/>
      <w:bookmarkEnd w:id="95"/>
      <w:bookmarkEnd w:id="96"/>
      <w:bookmarkEnd w:id="97"/>
      <w:bookmarkEnd w:id="98"/>
      <w:r>
        <w:rPr>
          <w:rFonts w:hint="eastAsia"/>
          <w:lang w:val="en-US" w:eastAsia="zh-CN"/>
        </w:rPr>
        <w:t xml:space="preserve"> </w:t>
      </w:r>
    </w:p>
    <w:p>
      <w:pPr>
        <w:pStyle w:val="29"/>
        <w:numPr>
          <w:ilvl w:val="0"/>
          <w:numId w:val="10"/>
        </w:numPr>
        <w:spacing w:before="120" w:after="120"/>
        <w:ind w:left="420" w:leftChars="200"/>
      </w:pPr>
      <w:bookmarkStart w:id="99" w:name="_Toc27631"/>
      <w:bookmarkStart w:id="100" w:name="_Toc23183"/>
      <w:bookmarkStart w:id="101" w:name="_Toc7615"/>
      <w:bookmarkStart w:id="102" w:name="_Toc20320"/>
      <w:bookmarkStart w:id="103" w:name="_Toc9917"/>
      <w:r>
        <w:rPr>
          <w:rFonts w:hint="eastAsia"/>
          <w:lang w:val="en-US" w:eastAsia="zh-CN"/>
        </w:rPr>
        <w:t>SSB-less SCell for inter-band CA implemented by configuring one or more SSB-less SCell for UEs.</w:t>
      </w:r>
      <w:bookmarkEnd w:id="99"/>
      <w:bookmarkEnd w:id="100"/>
      <w:bookmarkEnd w:id="101"/>
      <w:bookmarkEnd w:id="102"/>
      <w:bookmarkEnd w:id="103"/>
      <w:r>
        <w:rPr>
          <w:rFonts w:hint="eastAsia"/>
          <w:lang w:val="en-US" w:eastAsia="zh-CN"/>
        </w:rPr>
        <w:t xml:space="preserve"> </w:t>
      </w:r>
    </w:p>
    <w:p>
      <w:pPr>
        <w:pStyle w:val="29"/>
        <w:numPr>
          <w:ilvl w:val="1"/>
          <w:numId w:val="10"/>
        </w:numPr>
        <w:tabs>
          <w:tab w:val="clear" w:pos="840"/>
        </w:tabs>
        <w:spacing w:before="120" w:after="120"/>
        <w:ind w:left="1260"/>
        <w:rPr>
          <w:lang w:val="en-US" w:eastAsia="zh-CN"/>
        </w:rPr>
      </w:pPr>
      <w:bookmarkStart w:id="104" w:name="_Toc28364"/>
      <w:bookmarkStart w:id="105" w:name="_Toc11448"/>
      <w:bookmarkStart w:id="106" w:name="_Toc5478"/>
      <w:bookmarkStart w:id="107" w:name="_Toc24387"/>
      <w:bookmarkStart w:id="108" w:name="_Toc1422"/>
      <w:r>
        <w:rPr>
          <w:rFonts w:hint="eastAsia"/>
          <w:lang w:val="en-US" w:eastAsia="zh-CN"/>
        </w:rPr>
        <w:t>P</w:t>
      </w:r>
      <w:r>
        <w:rPr>
          <w:lang w:val="en-US" w:eastAsia="zh-CN"/>
        </w:rPr>
        <w:t>erformance analysis</w:t>
      </w:r>
      <w:bookmarkEnd w:id="104"/>
      <w:bookmarkEnd w:id="105"/>
      <w:bookmarkEnd w:id="106"/>
      <w:bookmarkEnd w:id="107"/>
    </w:p>
    <w:p>
      <w:pPr>
        <w:pStyle w:val="29"/>
        <w:numPr>
          <w:ilvl w:val="2"/>
          <w:numId w:val="10"/>
        </w:numPr>
        <w:tabs>
          <w:tab w:val="clear" w:pos="1260"/>
        </w:tabs>
        <w:spacing w:before="120" w:after="120"/>
        <w:ind w:left="1680"/>
      </w:pPr>
      <w:bookmarkStart w:id="109" w:name="_Toc22101"/>
      <w:bookmarkStart w:id="110" w:name="_Toc4178"/>
      <w:bookmarkStart w:id="111" w:name="_Toc1468"/>
      <w:bookmarkStart w:id="112" w:name="_Toc29625"/>
      <w:r>
        <w:rPr>
          <w:rFonts w:hint="eastAsia"/>
        </w:rPr>
        <w:t xml:space="preserve">The SSB-less SCell scheme can obtain </w:t>
      </w:r>
      <w:r>
        <w:t>5%~</w:t>
      </w:r>
      <w:r>
        <w:rPr>
          <w:lang w:val="en-US" w:eastAsia="zh-CN"/>
        </w:rPr>
        <w:t>14.8</w:t>
      </w:r>
      <w:r>
        <w:t>%</w:t>
      </w:r>
      <w:r>
        <w:rPr>
          <w:lang w:bidi="ar"/>
        </w:rPr>
        <w:t xml:space="preserve"> energy saving gain in the cases of RU=</w:t>
      </w:r>
      <w:r>
        <w:rPr>
          <w:lang w:val="en-US" w:eastAsia="zh-CN"/>
        </w:rPr>
        <w:t>5</w:t>
      </w:r>
      <w:r>
        <w:t>%~</w:t>
      </w:r>
      <w:r>
        <w:rPr>
          <w:lang w:val="en-US" w:eastAsia="zh-CN"/>
        </w:rPr>
        <w:t>25</w:t>
      </w:r>
      <w:r>
        <w:t>%</w:t>
      </w:r>
      <w:r>
        <w:rPr>
          <w:lang w:val="en-US" w:eastAsia="zh-CN"/>
        </w:rPr>
        <w:t xml:space="preserve"> for TDD and 9.4%~26.4% energy saving gain in the case of RU=5%~15% for FDD.</w:t>
      </w:r>
      <w:bookmarkEnd w:id="109"/>
      <w:bookmarkEnd w:id="110"/>
      <w:bookmarkEnd w:id="111"/>
      <w:bookmarkEnd w:id="112"/>
    </w:p>
    <w:p>
      <w:pPr>
        <w:pStyle w:val="29"/>
        <w:numPr>
          <w:ilvl w:val="1"/>
          <w:numId w:val="10"/>
        </w:numPr>
        <w:tabs>
          <w:tab w:val="clear" w:pos="840"/>
        </w:tabs>
        <w:spacing w:before="120" w:after="120"/>
        <w:ind w:left="1260"/>
      </w:pPr>
      <w:bookmarkStart w:id="113" w:name="_Toc15951"/>
      <w:bookmarkStart w:id="114" w:name="_Toc12652"/>
      <w:bookmarkStart w:id="115" w:name="_Toc8363"/>
      <w:bookmarkStart w:id="116" w:name="_Toc3529"/>
      <w:r>
        <w:rPr>
          <w:rFonts w:hint="eastAsia"/>
          <w:lang w:val="en-US" w:eastAsia="zh-CN"/>
        </w:rPr>
        <w:t xml:space="preserve">Specification </w:t>
      </w:r>
      <w:r>
        <w:rPr>
          <w:rFonts w:hint="eastAsia"/>
        </w:rPr>
        <w:t xml:space="preserve">impact </w:t>
      </w:r>
      <w:r>
        <w:rPr>
          <w:rFonts w:hint="eastAsia"/>
          <w:lang w:val="en-US" w:eastAsia="zh-CN"/>
        </w:rPr>
        <w:t>may include</w:t>
      </w:r>
      <w:bookmarkEnd w:id="108"/>
      <w:bookmarkEnd w:id="113"/>
      <w:bookmarkEnd w:id="114"/>
      <w:bookmarkEnd w:id="115"/>
      <w:bookmarkEnd w:id="116"/>
    </w:p>
    <w:p>
      <w:pPr>
        <w:pStyle w:val="29"/>
        <w:numPr>
          <w:ilvl w:val="2"/>
          <w:numId w:val="10"/>
        </w:numPr>
        <w:tabs>
          <w:tab w:val="clear" w:pos="1260"/>
        </w:tabs>
        <w:spacing w:before="120" w:after="120"/>
        <w:ind w:left="1680"/>
        <w:rPr>
          <w:lang w:val="en-US" w:eastAsia="zh-CN"/>
        </w:rPr>
      </w:pPr>
      <w:bookmarkStart w:id="117" w:name="_Toc3493"/>
      <w:bookmarkStart w:id="118" w:name="_Toc11427"/>
      <w:bookmarkStart w:id="119" w:name="_Toc2480"/>
      <w:bookmarkStart w:id="120" w:name="_Toc16289"/>
      <w:bookmarkStart w:id="121" w:name="_Toc30026"/>
      <w:r>
        <w:rPr>
          <w:lang w:val="en-US" w:eastAsia="zh-CN"/>
        </w:rPr>
        <w:t>U</w:t>
      </w:r>
      <w:r>
        <w:rPr>
          <w:rFonts w:hint="eastAsia"/>
          <w:lang w:val="en-US" w:eastAsia="zh-CN"/>
        </w:rPr>
        <w:t xml:space="preserve">plink WUS </w:t>
      </w:r>
      <w:r>
        <w:rPr>
          <w:lang w:val="en-US" w:eastAsia="zh-CN"/>
        </w:rPr>
        <w:t xml:space="preserve">to trigger on-demand </w:t>
      </w:r>
      <w:r>
        <w:rPr>
          <w:rFonts w:hint="eastAsia"/>
          <w:lang w:val="en-US" w:eastAsia="zh-CN"/>
        </w:rPr>
        <w:t>RS</w:t>
      </w:r>
      <w:r>
        <w:rPr>
          <w:lang w:val="en-US" w:eastAsia="zh-CN"/>
        </w:rPr>
        <w:t xml:space="preserve"> </w:t>
      </w:r>
      <w:r>
        <w:rPr>
          <w:rFonts w:hint="eastAsia"/>
          <w:lang w:val="en-US" w:eastAsia="zh-CN"/>
        </w:rPr>
        <w:t>to reduce the impact of SSB-less SCell on user experience.</w:t>
      </w:r>
      <w:bookmarkEnd w:id="117"/>
      <w:bookmarkEnd w:id="118"/>
      <w:bookmarkEnd w:id="119"/>
      <w:bookmarkEnd w:id="120"/>
      <w:bookmarkEnd w:id="121"/>
    </w:p>
    <w:p>
      <w:pPr>
        <w:pStyle w:val="29"/>
        <w:numPr>
          <w:ilvl w:val="2"/>
          <w:numId w:val="10"/>
        </w:numPr>
        <w:tabs>
          <w:tab w:val="clear" w:pos="1260"/>
        </w:tabs>
        <w:spacing w:before="120" w:after="120"/>
        <w:ind w:left="1680"/>
      </w:pPr>
      <w:bookmarkStart w:id="122" w:name="_Toc26792"/>
      <w:bookmarkStart w:id="123" w:name="_Toc32346"/>
      <w:bookmarkStart w:id="124" w:name="_Toc18513"/>
      <w:bookmarkStart w:id="125" w:name="_Toc7289"/>
      <w:bookmarkStart w:id="126" w:name="_Toc18516"/>
      <w:r>
        <w:rPr>
          <w:lang w:val="en-US" w:eastAsia="zh-CN"/>
        </w:rPr>
        <w:t>A</w:t>
      </w:r>
      <w:r>
        <w:rPr>
          <w:rFonts w:hint="eastAsia"/>
          <w:lang w:val="en-US" w:eastAsia="zh-CN"/>
        </w:rPr>
        <w:t>periodic TRS triggered</w:t>
      </w:r>
      <w:r>
        <w:rPr>
          <w:lang w:val="en-US" w:eastAsia="zh-CN"/>
        </w:rPr>
        <w:t xml:space="preserve"> </w:t>
      </w:r>
      <w:r>
        <w:rPr>
          <w:rFonts w:hint="eastAsia"/>
          <w:lang w:val="en-US" w:eastAsia="zh-CN"/>
        </w:rPr>
        <w:t>by SCell activation</w:t>
      </w:r>
      <w:bookmarkEnd w:id="122"/>
      <w:bookmarkEnd w:id="123"/>
      <w:bookmarkEnd w:id="124"/>
      <w:r>
        <w:rPr>
          <w:rFonts w:hint="eastAsia"/>
          <w:lang w:val="en-US" w:eastAsia="zh-CN"/>
        </w:rPr>
        <w:t>.</w:t>
      </w:r>
      <w:bookmarkEnd w:id="125"/>
      <w:bookmarkEnd w:id="126"/>
    </w:p>
    <w:p>
      <w:pPr>
        <w:spacing w:before="120" w:after="120"/>
      </w:pPr>
    </w:p>
    <w:p>
      <w:pPr>
        <w:pStyle w:val="3"/>
        <w:numPr>
          <w:ilvl w:val="1"/>
          <w:numId w:val="8"/>
        </w:numPr>
        <w:spacing w:before="120" w:after="120"/>
        <w:ind w:right="210"/>
        <w:rPr>
          <w:sz w:val="21"/>
          <w:szCs w:val="21"/>
        </w:rPr>
      </w:pPr>
      <w:r>
        <w:rPr>
          <w:rFonts w:ascii="Times New Roman" w:hAnsi="Times New Roman"/>
          <w:b/>
          <w:sz w:val="21"/>
          <w:szCs w:val="21"/>
        </w:rPr>
        <w:t>Network energy saving techniques in spatial domain</w:t>
      </w:r>
    </w:p>
    <w:p>
      <w:pPr>
        <w:spacing w:before="120" w:after="120"/>
        <w:rPr>
          <w:rFonts w:eastAsiaTheme="minorEastAsia"/>
        </w:rPr>
      </w:pPr>
      <w:r>
        <w:t xml:space="preserve">Massive MIMO, which allows spatial or multi-path diversity, is a major and effective technology to accommodate 5G requirements. </w:t>
      </w:r>
      <w:r>
        <w:rPr>
          <w:rFonts w:eastAsiaTheme="minorEastAsia"/>
        </w:rPr>
        <w:t xml:space="preserve">However, the cost arising from massive MIMO is the </w:t>
      </w:r>
      <w:r>
        <w:t xml:space="preserve">increased base station power consumption and OPEX due to the large amount of </w:t>
      </w:r>
      <w:r>
        <w:rPr>
          <w:rFonts w:eastAsiaTheme="minorEastAsia"/>
        </w:rPr>
        <w:t>TxRUs and the associated hardware processing units, including power amplifier.</w:t>
      </w:r>
    </w:p>
    <w:p>
      <w:pPr>
        <w:spacing w:before="120" w:after="120"/>
      </w:pPr>
      <w:r>
        <w:rPr>
          <w:rFonts w:eastAsiaTheme="minorEastAsia"/>
        </w:rPr>
        <w:t>Considering the traffic load or the number of served UEs varies within a day, a promising solution to network energy saving is switching off base station TxRUs when the traffic load is</w:t>
      </w:r>
      <w:r>
        <w:rPr>
          <w:rFonts w:hint="eastAsia" w:eastAsiaTheme="minorEastAsia"/>
        </w:rPr>
        <w:t xml:space="preserve"> low</w:t>
      </w:r>
      <w:r>
        <w:rPr>
          <w:rFonts w:eastAsiaTheme="minorEastAsia"/>
        </w:rPr>
        <w:t xml:space="preserve">, as shown in </w:t>
      </w:r>
      <w:r>
        <w:rPr>
          <w:rFonts w:eastAsiaTheme="minorEastAsia"/>
        </w:rPr>
        <w:fldChar w:fldCharType="begin"/>
      </w:r>
      <w:r>
        <w:rPr>
          <w:rFonts w:eastAsiaTheme="minorEastAsia"/>
        </w:rPr>
        <w:instrText xml:space="preserve"> REF _Ref10791 \h  \* MERGEFORMAT </w:instrText>
      </w:r>
      <w:r>
        <w:rPr>
          <w:rFonts w:eastAsiaTheme="minorEastAsia"/>
        </w:rPr>
        <w:fldChar w:fldCharType="separate"/>
      </w:r>
      <w:r>
        <w:t xml:space="preserve">Figure </w:t>
      </w:r>
      <w:r>
        <w:rPr>
          <w:rFonts w:eastAsiaTheme="minorEastAsia"/>
        </w:rPr>
        <w:fldChar w:fldCharType="end"/>
      </w:r>
      <w:r>
        <w:rPr>
          <w:rFonts w:hint="eastAsia" w:eastAsiaTheme="minorEastAsia"/>
        </w:rPr>
        <w:t>6</w:t>
      </w:r>
      <w:r>
        <w:rPr>
          <w:rFonts w:eastAsiaTheme="minorEastAsia"/>
        </w:rPr>
        <w:t xml:space="preserve">. </w:t>
      </w:r>
    </w:p>
    <w:p>
      <w:pPr>
        <w:spacing w:before="120" w:after="120"/>
        <w:jc w:val="center"/>
      </w:pPr>
      <w:r>
        <w:drawing>
          <wp:inline distT="0" distB="0" distL="0" distR="0">
            <wp:extent cx="3315970" cy="1079500"/>
            <wp:effectExtent l="0" t="0" r="177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3316211" cy="1080000"/>
                    </a:xfrm>
                    <a:prstGeom prst="rect">
                      <a:avLst/>
                    </a:prstGeom>
                  </pic:spPr>
                </pic:pic>
              </a:graphicData>
            </a:graphic>
          </wp:inline>
        </w:drawing>
      </w:r>
    </w:p>
    <w:p>
      <w:pPr>
        <w:spacing w:before="120" w:after="120"/>
        <w:jc w:val="center"/>
      </w:pPr>
      <w:r>
        <w:t xml:space="preserve">Figure </w:t>
      </w:r>
      <w:r>
        <w:rPr>
          <w:rFonts w:hint="eastAsia"/>
        </w:rPr>
        <w:t>6</w:t>
      </w:r>
      <w:r>
        <w:t xml:space="preserve"> Antenna adaptation for network power saving</w:t>
      </w:r>
    </w:p>
    <w:p>
      <w:pPr>
        <w:spacing w:before="120" w:after="120"/>
        <w:rPr>
          <w:rFonts w:eastAsiaTheme="minorEastAsia"/>
        </w:rPr>
      </w:pPr>
      <w:r>
        <w:rPr>
          <w:rFonts w:eastAsiaTheme="minorEastAsia"/>
        </w:rPr>
        <w:t>S</w:t>
      </w:r>
      <w:r>
        <w:rPr>
          <w:rFonts w:hint="eastAsia" w:eastAsiaTheme="minorEastAsia"/>
        </w:rPr>
        <w:t xml:space="preserve">imulation results obtained by decreasing the antenna configuration from 64TxRU to 32TxRU are provided in </w:t>
      </w:r>
      <w:r>
        <w:rPr>
          <w:rFonts w:eastAsiaTheme="minorEastAsia"/>
        </w:rPr>
        <w:t>Figure 7</w:t>
      </w:r>
      <w:r>
        <w:rPr>
          <w:rFonts w:hint="eastAsia" w:eastAsiaTheme="minorEastAsia"/>
        </w:rPr>
        <w:t>. The</w:t>
      </w:r>
      <w:r>
        <w:rPr>
          <w:rFonts w:hint="eastAsia"/>
        </w:rPr>
        <w:t xml:space="preserve"> antenna </w:t>
      </w:r>
      <w:r>
        <w:rPr>
          <w:rFonts w:hint="eastAsia" w:eastAsiaTheme="minorEastAsia"/>
        </w:rPr>
        <w:t xml:space="preserve">configuration is </w:t>
      </w:r>
      <w:r>
        <w:rPr>
          <w:rFonts w:hint="eastAsia"/>
        </w:rPr>
        <w:t>shown in Table 1. The traffic model is using FTP</w:t>
      </w:r>
      <w:r>
        <w:t xml:space="preserve">3 with </w:t>
      </w:r>
      <w:r>
        <w:rPr>
          <w:rFonts w:hint="eastAsia"/>
        </w:rPr>
        <w:t>packet size</w:t>
      </w:r>
      <w:r>
        <w:t xml:space="preserve"> of</w:t>
      </w:r>
      <w:r>
        <w:rPr>
          <w:rFonts w:hint="eastAsia"/>
        </w:rPr>
        <w:t xml:space="preserve"> 20</w:t>
      </w:r>
      <w:r>
        <w:t>KByte</w:t>
      </w:r>
      <w:r>
        <w:rPr>
          <w:rFonts w:hint="eastAsia"/>
        </w:rPr>
        <w:t>, other simulation assumption</w:t>
      </w:r>
      <w:r>
        <w:t>s</w:t>
      </w:r>
      <w:r>
        <w:rPr>
          <w:rFonts w:hint="eastAsia"/>
        </w:rPr>
        <w:t xml:space="preserve"> are provided in</w:t>
      </w:r>
      <w:r>
        <w:t xml:space="preserve"> [4].</w:t>
      </w:r>
    </w:p>
    <w:p>
      <w:pPr>
        <w:spacing w:before="120" w:after="120"/>
        <w:jc w:val="center"/>
      </w:pPr>
      <w:r>
        <w:rPr>
          <w:rFonts w:hint="eastAsia" w:eastAsiaTheme="minorEastAsia"/>
        </w:rPr>
        <w:t xml:space="preserve">Table 1 BS antenna configuration for </w:t>
      </w:r>
      <w:r>
        <w:t>TxRU adaptation</w:t>
      </w:r>
    </w:p>
    <w:tbl>
      <w:tblPr>
        <w:tblStyle w:val="17"/>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9"/>
        <w:gridCol w:w="7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w:t>
            </w:r>
            <w:r>
              <w:rPr>
                <w:rFonts w:hint="eastAsia"/>
              </w:rPr>
              <w:t>Max</w:t>
            </w:r>
            <w:r>
              <w:t xml:space="preserve"> transmission power=52dBm</w:t>
            </w:r>
          </w:p>
        </w:tc>
      </w:tr>
    </w:tbl>
    <w:p>
      <w:pPr>
        <w:spacing w:before="120" w:after="120"/>
        <w:jc w:val="center"/>
      </w:pPr>
    </w:p>
    <w:p>
      <w:pPr>
        <w:spacing w:before="120" w:after="120"/>
        <w:rPr>
          <w:rFonts w:eastAsiaTheme="minorEastAsia"/>
        </w:rPr>
      </w:pPr>
      <w:r>
        <w:rPr>
          <w:rFonts w:eastAsiaTheme="minorEastAsia"/>
        </w:rPr>
        <w:t xml:space="preserve">According to the simulation results, </w:t>
      </w:r>
      <w:r>
        <w:rPr>
          <w:rFonts w:hint="eastAsia" w:eastAsiaTheme="minorEastAsia"/>
        </w:rPr>
        <w:t xml:space="preserve">when </w:t>
      </w:r>
      <w:r>
        <w:rPr>
          <w:rFonts w:eastAsiaTheme="minorEastAsia"/>
        </w:rPr>
        <w:t xml:space="preserve">the </w:t>
      </w:r>
      <w:r>
        <w:rPr>
          <w:rFonts w:hint="eastAsia" w:eastAsiaTheme="minorEastAsia"/>
        </w:rPr>
        <w:t>antenna</w:t>
      </w:r>
      <w:r>
        <w:rPr>
          <w:rFonts w:eastAsiaTheme="minorEastAsia"/>
        </w:rPr>
        <w:t xml:space="preserve"> configuration</w:t>
      </w:r>
      <w:r>
        <w:rPr>
          <w:rFonts w:hint="eastAsia" w:eastAsiaTheme="minorEastAsia"/>
        </w:rPr>
        <w:t xml:space="preserve"> is reduced from 64TxRUs to 32TxRUs, 17.7%~26.4% energy saving gain can be obtained in the case RU=10%~35%</w:t>
      </w:r>
      <w:r>
        <w:rPr>
          <w:rFonts w:eastAsiaTheme="minorEastAsia"/>
        </w:rPr>
        <w:t xml:space="preserve"> with </w:t>
      </w:r>
      <w:r>
        <w:rPr>
          <w:rFonts w:hint="eastAsia"/>
          <w:szCs w:val="21"/>
        </w:rPr>
        <w:t>3.7%~10.9% UPT loss</w:t>
      </w:r>
      <w:r>
        <w:rPr>
          <w:rFonts w:hint="eastAsia" w:eastAsiaTheme="minorEastAsia"/>
        </w:rPr>
        <w:t>. However, antenna reduction increases the RU and degrade</w:t>
      </w:r>
      <w:r>
        <w:rPr>
          <w:rFonts w:eastAsiaTheme="minorEastAsia"/>
        </w:rPr>
        <w:t>s</w:t>
      </w:r>
      <w:r>
        <w:rPr>
          <w:rFonts w:hint="eastAsia" w:eastAsiaTheme="minorEastAsia"/>
        </w:rPr>
        <w:t xml:space="preserve"> </w:t>
      </w:r>
      <w:r>
        <w:rPr>
          <w:rFonts w:eastAsiaTheme="minorEastAsia"/>
        </w:rPr>
        <w:t>UE</w:t>
      </w:r>
      <w:r>
        <w:rPr>
          <w:rFonts w:hint="eastAsia" w:eastAsiaTheme="minorEastAsia"/>
        </w:rPr>
        <w:t xml:space="preserve"> throughput. </w:t>
      </w:r>
    </w:p>
    <w:p>
      <w:pPr>
        <w:spacing w:before="120" w:after="120"/>
        <w:jc w:val="center"/>
      </w:pPr>
      <w:r>
        <w:drawing>
          <wp:inline distT="0" distB="0" distL="114300" distR="114300">
            <wp:extent cx="3599815" cy="2160270"/>
            <wp:effectExtent l="4445" t="4445" r="15240" b="6985"/>
            <wp:docPr id="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before="120" w:after="120"/>
        <w:jc w:val="center"/>
      </w:pPr>
      <w:r>
        <w:rPr>
          <w:rFonts w:hint="eastAsia"/>
        </w:rPr>
        <w:t xml:space="preserve">Figure </w:t>
      </w:r>
      <w:r>
        <w:t>7</w:t>
      </w:r>
      <w:r>
        <w:rPr>
          <w:rFonts w:hint="eastAsia"/>
        </w:rPr>
        <w:t xml:space="preserve"> Energy saving gain </w:t>
      </w:r>
      <w:r>
        <w:t>and UPT impact of</w:t>
      </w:r>
      <w:r>
        <w:rPr>
          <w:rFonts w:hint="eastAsia"/>
        </w:rPr>
        <w:t xml:space="preserve"> antenna reduction</w:t>
      </w:r>
    </w:p>
    <w:p>
      <w:pPr>
        <w:spacing w:before="120" w:after="120"/>
      </w:pPr>
    </w:p>
    <w:p>
      <w:pPr>
        <w:pStyle w:val="28"/>
        <w:tabs>
          <w:tab w:val="clear" w:pos="420"/>
          <w:tab w:val="clear" w:pos="4820"/>
        </w:tabs>
        <w:adjustRightInd w:val="0"/>
        <w:snapToGrid w:val="0"/>
        <w:spacing w:before="120" w:after="120"/>
        <w:ind w:left="0"/>
      </w:pPr>
      <w:bookmarkStart w:id="127" w:name="_Toc9254"/>
      <w:bookmarkStart w:id="128" w:name="_Toc24786"/>
      <w:bookmarkStart w:id="129" w:name="_Toc29978"/>
      <w:bookmarkStart w:id="130" w:name="_Toc8665"/>
      <w:r>
        <w:t>W</w:t>
      </w:r>
      <w:r>
        <w:rPr>
          <w:rFonts w:hint="eastAsia"/>
        </w:rPr>
        <w:t xml:space="preserve">hen </w:t>
      </w:r>
      <w:r>
        <w:t xml:space="preserve">the </w:t>
      </w:r>
      <w:r>
        <w:rPr>
          <w:rFonts w:hint="eastAsia"/>
        </w:rPr>
        <w:t>antenna</w:t>
      </w:r>
      <w:r>
        <w:t xml:space="preserve"> configuration</w:t>
      </w:r>
      <w:r>
        <w:rPr>
          <w:rFonts w:hint="eastAsia"/>
        </w:rPr>
        <w:t xml:space="preserve"> is reduced from 64TxRUs to 32TxRUs</w:t>
      </w:r>
      <w:r>
        <w:t xml:space="preserve">, </w:t>
      </w:r>
      <w:r>
        <w:rPr>
          <w:rFonts w:hint="eastAsia"/>
        </w:rPr>
        <w:t>17.7</w:t>
      </w:r>
      <w:r>
        <w:t>%~2</w:t>
      </w:r>
      <w:r>
        <w:rPr>
          <w:rFonts w:hint="eastAsia"/>
        </w:rPr>
        <w:t>6.4</w:t>
      </w:r>
      <w:r>
        <w:t>% energy saving gain</w:t>
      </w:r>
      <w:r>
        <w:rPr>
          <w:rFonts w:hint="eastAsia"/>
        </w:rPr>
        <w:t xml:space="preserve"> </w:t>
      </w:r>
      <w:r>
        <w:t>can be observed in the case RU=</w:t>
      </w:r>
      <w:r>
        <w:rPr>
          <w:rFonts w:hint="eastAsia"/>
        </w:rPr>
        <w:t>10</w:t>
      </w:r>
      <w:r>
        <w:t>%~3</w:t>
      </w:r>
      <w:r>
        <w:rPr>
          <w:rFonts w:hint="eastAsia"/>
        </w:rPr>
        <w:t>5</w:t>
      </w:r>
      <w:r>
        <w:t>% with</w:t>
      </w:r>
      <w:r>
        <w:rPr>
          <w:rFonts w:hint="eastAsia"/>
        </w:rPr>
        <w:t xml:space="preserve"> 3.7%~10.9% UPT los</w:t>
      </w:r>
      <w:r>
        <w:t>s.</w:t>
      </w:r>
      <w:bookmarkEnd w:id="127"/>
      <w:bookmarkEnd w:id="128"/>
      <w:bookmarkEnd w:id="129"/>
      <w:bookmarkEnd w:id="130"/>
    </w:p>
    <w:p>
      <w:pPr>
        <w:pStyle w:val="29"/>
        <w:spacing w:before="120" w:after="120"/>
        <w:rPr>
          <w:lang w:val="en-US" w:eastAsia="zh-CN"/>
        </w:rPr>
      </w:pPr>
      <w:bookmarkStart w:id="131" w:name="_Toc11662"/>
      <w:bookmarkStart w:id="132" w:name="_Toc374"/>
      <w:bookmarkStart w:id="133" w:name="_Toc24610"/>
      <w:bookmarkStart w:id="134" w:name="_Toc895"/>
      <w:r>
        <w:rPr>
          <w:lang w:val="en-US" w:eastAsia="zh-CN"/>
        </w:rPr>
        <w:t>The spatial domain adaptation with TxRU activation/de-activation should be supported for network energy saving.</w:t>
      </w:r>
      <w:bookmarkEnd w:id="131"/>
      <w:bookmarkEnd w:id="132"/>
      <w:bookmarkEnd w:id="133"/>
      <w:bookmarkEnd w:id="134"/>
    </w:p>
    <w:p>
      <w:pPr>
        <w:spacing w:before="120" w:after="120"/>
        <w:rPr>
          <w:rFonts w:eastAsiaTheme="minorEastAsia"/>
        </w:rPr>
      </w:pPr>
      <w:r>
        <w:rPr>
          <w:rFonts w:eastAsiaTheme="minorEastAsia"/>
        </w:rPr>
        <w:t xml:space="preserve">For the impact of TxRU de-activation, one </w:t>
      </w:r>
      <w:r>
        <w:rPr>
          <w:rFonts w:hint="eastAsia" w:eastAsiaTheme="minorEastAsia"/>
        </w:rPr>
        <w:t>obvious</w:t>
      </w:r>
      <w:r>
        <w:rPr>
          <w:rFonts w:eastAsiaTheme="minorEastAsia"/>
        </w:rPr>
        <w:t xml:space="preserve"> aspect is</w:t>
      </w:r>
      <w:r>
        <w:rPr>
          <w:rFonts w:hint="eastAsia" w:eastAsiaTheme="minorEastAsia"/>
        </w:rPr>
        <w:t xml:space="preserve"> that t</w:t>
      </w:r>
      <w:r>
        <w:rPr>
          <w:rFonts w:eastAsiaTheme="minorEastAsia"/>
        </w:rPr>
        <w:t>he</w:t>
      </w:r>
      <w:r>
        <w:rPr>
          <w:rFonts w:hint="eastAsia" w:eastAsiaTheme="minorEastAsia"/>
        </w:rPr>
        <w:t xml:space="preserve"> transmission power will reduce. </w:t>
      </w:r>
      <w:r>
        <w:rPr>
          <w:rFonts w:eastAsiaTheme="minorEastAsia"/>
        </w:rPr>
        <w:t xml:space="preserve">And the transmission of reference signal/channel may </w:t>
      </w:r>
      <w:r>
        <w:rPr>
          <w:rFonts w:hint="eastAsia" w:eastAsiaTheme="minorEastAsia"/>
        </w:rPr>
        <w:t xml:space="preserve">be </w:t>
      </w:r>
      <w:r>
        <w:rPr>
          <w:rFonts w:eastAsiaTheme="minorEastAsia"/>
        </w:rPr>
        <w:t>affected.</w:t>
      </w:r>
    </w:p>
    <w:p>
      <w:pPr>
        <w:spacing w:before="120" w:after="120"/>
        <w:rPr>
          <w:rFonts w:eastAsiaTheme="minorEastAsia"/>
        </w:rPr>
      </w:pPr>
      <w:r>
        <w:rPr>
          <w:rFonts w:eastAsiaTheme="minorEastAsia"/>
        </w:rPr>
        <w:t xml:space="preserve">An example is shown in </w:t>
      </w:r>
      <w:r>
        <w:rPr>
          <w:rFonts w:eastAsiaTheme="minorEastAsia"/>
        </w:rPr>
        <w:fldChar w:fldCharType="begin"/>
      </w:r>
      <w:r>
        <w:rPr>
          <w:rFonts w:eastAsiaTheme="minorEastAsia"/>
        </w:rPr>
        <w:instrText xml:space="preserve"> REF _Ref11072 \h  \* MERGEFORMAT </w:instrText>
      </w:r>
      <w:r>
        <w:rPr>
          <w:rFonts w:eastAsiaTheme="minorEastAsia"/>
        </w:rPr>
        <w:fldChar w:fldCharType="separate"/>
      </w:r>
      <w:r>
        <w:t xml:space="preserve">Figure </w:t>
      </w:r>
      <w:r>
        <w:rPr>
          <w:rFonts w:eastAsiaTheme="minorEastAsia"/>
        </w:rPr>
        <w:fldChar w:fldCharType="end"/>
      </w:r>
      <w:r>
        <w:rPr>
          <w:rFonts w:hint="eastAsia" w:eastAsiaTheme="minorEastAsia"/>
        </w:rPr>
        <w:t>7</w:t>
      </w:r>
      <w:r>
        <w:rPr>
          <w:rFonts w:eastAsiaTheme="minorEastAsia"/>
        </w:rPr>
        <w:t xml:space="preserve">. </w:t>
      </w:r>
      <w:r>
        <w:rPr>
          <w:rFonts w:hint="eastAsia" w:eastAsiaTheme="minorEastAsia"/>
        </w:rPr>
        <w:t>T</w:t>
      </w:r>
      <w:r>
        <w:rPr>
          <w:rFonts w:eastAsiaTheme="minorEastAsia"/>
        </w:rPr>
        <w:t xml:space="preserve">he number of CSI-RS ports is configured as 32 which is the maximum value promised by current specification. If one half of </w:t>
      </w:r>
      <w:r>
        <w:rPr>
          <w:rFonts w:hint="eastAsia" w:eastAsiaTheme="minorEastAsia"/>
        </w:rPr>
        <w:t xml:space="preserve">TxRUs </w:t>
      </w:r>
      <w:r>
        <w:rPr>
          <w:rFonts w:eastAsiaTheme="minorEastAsia"/>
        </w:rPr>
        <w:t>are switched off, the</w:t>
      </w:r>
      <w:r>
        <w:rPr>
          <w:rFonts w:hint="eastAsia" w:eastAsiaTheme="minorEastAsia"/>
        </w:rPr>
        <w:t xml:space="preserve"> available</w:t>
      </w:r>
      <w:r>
        <w:rPr>
          <w:rFonts w:eastAsiaTheme="minorEastAsia"/>
        </w:rPr>
        <w:t xml:space="preserve"> number of CSI-RS ports is also reduced to one half. </w:t>
      </w:r>
      <w:r>
        <w:rPr>
          <w:rFonts w:hint="eastAsia" w:eastAsiaTheme="minorEastAsia"/>
        </w:rPr>
        <w:t xml:space="preserve">That is, </w:t>
      </w:r>
      <w:r>
        <w:rPr>
          <w:rFonts w:eastAsiaTheme="minorEastAsia"/>
        </w:rPr>
        <w:t xml:space="preserve">if </w:t>
      </w:r>
      <w:r>
        <w:rPr>
          <w:rFonts w:hint="eastAsia" w:eastAsiaTheme="minorEastAsia"/>
        </w:rPr>
        <w:t>partial TxRUs are switching off, the</w:t>
      </w:r>
      <w:r>
        <w:rPr>
          <w:rFonts w:eastAsiaTheme="minorEastAsia"/>
        </w:rPr>
        <w:t xml:space="preserve"> reference signals</w:t>
      </w:r>
      <w:r>
        <w:rPr>
          <w:rFonts w:hint="eastAsia" w:eastAsiaTheme="minorEastAsia"/>
        </w:rPr>
        <w:t xml:space="preserve"> with a large port number </w:t>
      </w:r>
      <w:r>
        <w:rPr>
          <w:rFonts w:eastAsiaTheme="minorEastAsia"/>
        </w:rPr>
        <w:t>can</w:t>
      </w:r>
      <w:r>
        <w:rPr>
          <w:rFonts w:hint="eastAsia" w:eastAsiaTheme="minorEastAsia"/>
        </w:rPr>
        <w:t xml:space="preserve">not be supported, and the measurement of UE will </w:t>
      </w:r>
      <w:r>
        <w:rPr>
          <w:rFonts w:eastAsiaTheme="minorEastAsia"/>
        </w:rPr>
        <w:t xml:space="preserve">also </w:t>
      </w:r>
      <w:r>
        <w:rPr>
          <w:rFonts w:hint="eastAsia" w:eastAsiaTheme="minorEastAsia"/>
        </w:rPr>
        <w:t>be influenced. However, a</w:t>
      </w:r>
      <w:r>
        <w:rPr>
          <w:rFonts w:eastAsiaTheme="minorEastAsia"/>
        </w:rPr>
        <w:t xml:space="preserve">ccording to the current specification, the number of ports for DL reference signal, such as CSI-RS, is semi-statically configured via RRC. </w:t>
      </w:r>
      <w:r>
        <w:rPr>
          <w:rFonts w:hint="eastAsia" w:eastAsiaTheme="minorEastAsia"/>
        </w:rPr>
        <w:t>And if the</w:t>
      </w:r>
      <w:r>
        <w:rPr>
          <w:rFonts w:eastAsiaTheme="minorEastAsia"/>
        </w:rPr>
        <w:t xml:space="preserve"> port configuration</w:t>
      </w:r>
      <w:r>
        <w:rPr>
          <w:rFonts w:hint="eastAsia" w:eastAsiaTheme="minorEastAsia"/>
        </w:rPr>
        <w:t xml:space="preserve"> needs to be updated</w:t>
      </w:r>
      <w:r>
        <w:rPr>
          <w:rFonts w:eastAsiaTheme="minorEastAsia"/>
        </w:rPr>
        <w:t xml:space="preserve">, the signaling overhead </w:t>
      </w:r>
      <w:r>
        <w:rPr>
          <w:rFonts w:hint="eastAsia" w:eastAsiaTheme="minorEastAsia"/>
        </w:rPr>
        <w:t xml:space="preserve">will </w:t>
      </w:r>
      <w:r>
        <w:rPr>
          <w:rFonts w:eastAsiaTheme="minorEastAsia"/>
        </w:rPr>
        <w:t>increase significantly and</w:t>
      </w:r>
      <w:r>
        <w:rPr>
          <w:rFonts w:hint="eastAsia" w:eastAsiaTheme="minorEastAsia"/>
        </w:rPr>
        <w:t xml:space="preserve"> </w:t>
      </w:r>
      <w:r>
        <w:rPr>
          <w:rFonts w:eastAsiaTheme="minorEastAsia"/>
        </w:rPr>
        <w:t xml:space="preserve">the spectrum efficiency </w:t>
      </w:r>
      <w:r>
        <w:rPr>
          <w:rFonts w:hint="eastAsia" w:eastAsiaTheme="minorEastAsia"/>
        </w:rPr>
        <w:t>will</w:t>
      </w:r>
      <w:r>
        <w:rPr>
          <w:rFonts w:eastAsiaTheme="minorEastAsia"/>
        </w:rPr>
        <w:t xml:space="preserve"> decrease during the reconfiguration period.</w:t>
      </w:r>
    </w:p>
    <w:p>
      <w:pPr>
        <w:pStyle w:val="28"/>
        <w:tabs>
          <w:tab w:val="clear" w:pos="420"/>
          <w:tab w:val="clear" w:pos="4820"/>
        </w:tabs>
        <w:adjustRightInd w:val="0"/>
        <w:snapToGrid w:val="0"/>
        <w:spacing w:before="120" w:after="120"/>
        <w:ind w:left="0"/>
      </w:pPr>
      <w:bookmarkStart w:id="135" w:name="_Toc11003"/>
      <w:bookmarkStart w:id="136" w:name="_Toc22937"/>
      <w:bookmarkStart w:id="137" w:name="_Toc28798"/>
      <w:bookmarkStart w:id="138" w:name="_Toc10048"/>
      <w:bookmarkStart w:id="139" w:name="_Toc12032"/>
      <w:r>
        <w:t xml:space="preserve">RRC reconfiguration is needed to update the configuration of reference signals due to the </w:t>
      </w:r>
      <w:r>
        <w:rPr>
          <w:rFonts w:hint="eastAsia"/>
        </w:rPr>
        <w:t>TxRU</w:t>
      </w:r>
      <w:r>
        <w:t xml:space="preserve"> de-activation, which</w:t>
      </w:r>
      <w:r>
        <w:rPr>
          <w:rFonts w:hint="eastAsia"/>
        </w:rPr>
        <w:t xml:space="preserve"> </w:t>
      </w:r>
      <w:r>
        <w:t>will increase the signaling overhead and decrease the spectrum efficiency.</w:t>
      </w:r>
      <w:bookmarkEnd w:id="135"/>
      <w:bookmarkEnd w:id="136"/>
      <w:bookmarkEnd w:id="137"/>
      <w:bookmarkEnd w:id="138"/>
      <w:bookmarkEnd w:id="139"/>
    </w:p>
    <w:p>
      <w:pPr>
        <w:spacing w:before="120" w:after="120"/>
        <w:jc w:val="center"/>
      </w:pPr>
      <w:r>
        <w:drawing>
          <wp:inline distT="0" distB="0" distL="114300" distR="114300">
            <wp:extent cx="4678680" cy="1365250"/>
            <wp:effectExtent l="0" t="0" r="762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4678680" cy="1365250"/>
                    </a:xfrm>
                    <a:prstGeom prst="rect">
                      <a:avLst/>
                    </a:prstGeom>
                    <a:noFill/>
                    <a:ln>
                      <a:noFill/>
                    </a:ln>
                  </pic:spPr>
                </pic:pic>
              </a:graphicData>
            </a:graphic>
          </wp:inline>
        </w:drawing>
      </w:r>
    </w:p>
    <w:p>
      <w:pPr>
        <w:spacing w:before="120" w:after="120"/>
        <w:jc w:val="center"/>
      </w:pPr>
      <w:r>
        <w:t>Figure 8 Impact of TxRU de-activation on antenna ports</w:t>
      </w:r>
    </w:p>
    <w:p>
      <w:pPr>
        <w:spacing w:before="120" w:after="120"/>
        <w:rPr>
          <w:rFonts w:eastAsiaTheme="minorEastAsia"/>
        </w:rPr>
      </w:pPr>
      <w:r>
        <w:rPr>
          <w:rFonts w:eastAsiaTheme="minorEastAsia"/>
        </w:rPr>
        <w:t xml:space="preserve">Meanwhile, the case that the number of antenna ports is not influenced by </w:t>
      </w:r>
      <w:r>
        <w:rPr>
          <w:rFonts w:hint="eastAsia" w:eastAsiaTheme="minorEastAsia"/>
        </w:rPr>
        <w:t>the TxRUs</w:t>
      </w:r>
      <w:r>
        <w:rPr>
          <w:rFonts w:eastAsiaTheme="minorEastAsia"/>
        </w:rPr>
        <w:t xml:space="preserve"> de-activation or activation</w:t>
      </w:r>
      <w:r>
        <w:rPr>
          <w:rFonts w:hint="eastAsia" w:eastAsiaTheme="minorEastAsia"/>
        </w:rPr>
        <w:t xml:space="preserve"> should also be considered</w:t>
      </w:r>
      <w:r>
        <w:rPr>
          <w:rFonts w:eastAsiaTheme="minorEastAsia"/>
        </w:rPr>
        <w:t xml:space="preserve">. As shown in </w:t>
      </w:r>
      <w:r>
        <w:rPr>
          <w:rFonts w:eastAsiaTheme="minorEastAsia"/>
        </w:rPr>
        <w:fldChar w:fldCharType="begin"/>
      </w:r>
      <w:r>
        <w:rPr>
          <w:rFonts w:eastAsiaTheme="minorEastAsia"/>
        </w:rPr>
        <w:instrText xml:space="preserve"> REF _Ref11532 \h  \* MERGEFORMAT </w:instrText>
      </w:r>
      <w:r>
        <w:rPr>
          <w:rFonts w:eastAsiaTheme="minorEastAsia"/>
        </w:rPr>
        <w:fldChar w:fldCharType="separate"/>
      </w:r>
      <w:r>
        <w:t xml:space="preserve">Figure </w:t>
      </w:r>
      <w:r>
        <w:rPr>
          <w:rFonts w:eastAsiaTheme="minorEastAsia"/>
        </w:rPr>
        <w:fldChar w:fldCharType="end"/>
      </w:r>
      <w:r>
        <w:rPr>
          <w:rFonts w:hint="eastAsia" w:eastAsiaTheme="minorEastAsia"/>
        </w:rPr>
        <w:t>8</w:t>
      </w:r>
      <w:r>
        <w:rPr>
          <w:rFonts w:eastAsiaTheme="minorEastAsia"/>
        </w:rPr>
        <w:t xml:space="preserve">, when the number of CSI-RS ports is configured as 16, even half of the </w:t>
      </w:r>
      <w:r>
        <w:rPr>
          <w:rFonts w:hint="eastAsia" w:eastAsiaTheme="minorEastAsia"/>
        </w:rPr>
        <w:t xml:space="preserve">TxRUs </w:t>
      </w:r>
      <w:r>
        <w:rPr>
          <w:rFonts w:eastAsiaTheme="minorEastAsia"/>
        </w:rPr>
        <w:t xml:space="preserve">are de-activated, there are sufficient </w:t>
      </w:r>
      <w:r>
        <w:rPr>
          <w:rFonts w:hint="eastAsia" w:eastAsiaTheme="minorEastAsia"/>
        </w:rPr>
        <w:t xml:space="preserve">TxRUs </w:t>
      </w:r>
      <w:r>
        <w:rPr>
          <w:rFonts w:eastAsiaTheme="minorEastAsia"/>
        </w:rPr>
        <w:t>to be mapped into 16 ports</w:t>
      </w:r>
      <w:r>
        <w:rPr>
          <w:rFonts w:hint="eastAsia" w:eastAsiaTheme="minorEastAsia"/>
        </w:rPr>
        <w:t>.</w:t>
      </w:r>
    </w:p>
    <w:p>
      <w:pPr>
        <w:spacing w:before="120" w:after="120"/>
        <w:jc w:val="center"/>
        <w:rPr>
          <w:rFonts w:eastAsiaTheme="minorEastAsia"/>
        </w:rPr>
      </w:pPr>
      <w:r>
        <w:drawing>
          <wp:inline distT="0" distB="0" distL="114300" distR="114300">
            <wp:extent cx="3773170" cy="2040890"/>
            <wp:effectExtent l="0" t="0" r="17780" b="165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0"/>
                    <a:stretch>
                      <a:fillRect/>
                    </a:stretch>
                  </pic:blipFill>
                  <pic:spPr>
                    <a:xfrm>
                      <a:off x="0" y="0"/>
                      <a:ext cx="3773170" cy="2040890"/>
                    </a:xfrm>
                    <a:prstGeom prst="rect">
                      <a:avLst/>
                    </a:prstGeom>
                    <a:noFill/>
                    <a:ln>
                      <a:noFill/>
                    </a:ln>
                  </pic:spPr>
                </pic:pic>
              </a:graphicData>
            </a:graphic>
          </wp:inline>
        </w:drawing>
      </w:r>
    </w:p>
    <w:p>
      <w:pPr>
        <w:spacing w:before="120" w:after="120"/>
        <w:jc w:val="center"/>
      </w:pPr>
      <w:r>
        <w:t>Figure 9 Impact of TxRU de-activation on antenna ports</w:t>
      </w:r>
    </w:p>
    <w:p>
      <w:pPr>
        <w:spacing w:before="120" w:after="120"/>
        <w:rPr>
          <w:rFonts w:eastAsiaTheme="minorEastAsia"/>
        </w:rPr>
      </w:pPr>
      <w:r>
        <w:rPr>
          <w:rFonts w:hint="eastAsia" w:eastAsiaTheme="minorEastAsia"/>
        </w:rPr>
        <w:t>I</w:t>
      </w:r>
      <w:r>
        <w:rPr>
          <w:rFonts w:eastAsiaTheme="minorEastAsia"/>
        </w:rPr>
        <w:t xml:space="preserve">f the number of </w:t>
      </w:r>
      <w:r>
        <w:rPr>
          <w:rFonts w:hint="eastAsia" w:eastAsiaTheme="minorEastAsia"/>
        </w:rPr>
        <w:t>TxRU</w:t>
      </w:r>
      <w:r>
        <w:rPr>
          <w:rFonts w:eastAsiaTheme="minorEastAsia"/>
        </w:rPr>
        <w:t>s</w:t>
      </w:r>
      <w:r>
        <w:rPr>
          <w:rFonts w:hint="eastAsia" w:eastAsiaTheme="minorEastAsia"/>
        </w:rPr>
        <w:t xml:space="preserve"> </w:t>
      </w:r>
      <w:r>
        <w:rPr>
          <w:rFonts w:eastAsiaTheme="minorEastAsia"/>
        </w:rPr>
        <w:t xml:space="preserve">change, the virtualization between the physical antenna elements and antenna port will </w:t>
      </w:r>
      <w:r>
        <w:rPr>
          <w:rFonts w:hint="eastAsia" w:eastAsiaTheme="minorEastAsia"/>
        </w:rPr>
        <w:t xml:space="preserve">be </w:t>
      </w:r>
      <w:r>
        <w:rPr>
          <w:rFonts w:eastAsiaTheme="minorEastAsia"/>
        </w:rPr>
        <w:t>update</w:t>
      </w:r>
      <w:r>
        <w:rPr>
          <w:rFonts w:hint="eastAsia" w:eastAsiaTheme="minorEastAsia"/>
        </w:rPr>
        <w:t>d</w:t>
      </w:r>
      <w:r>
        <w:rPr>
          <w:rFonts w:eastAsiaTheme="minorEastAsia"/>
        </w:rPr>
        <w:t xml:space="preserve"> accordingly. It implies the CSI measurement based on the previous configuration of </w:t>
      </w:r>
      <w:r>
        <w:rPr>
          <w:rFonts w:hint="eastAsia" w:eastAsiaTheme="minorEastAsia"/>
        </w:rPr>
        <w:t>TxRU</w:t>
      </w:r>
      <w:r>
        <w:rPr>
          <w:rFonts w:eastAsiaTheme="minorEastAsia"/>
        </w:rPr>
        <w:t xml:space="preserve"> may be out-of-state.</w:t>
      </w:r>
    </w:p>
    <w:p>
      <w:pPr>
        <w:pStyle w:val="28"/>
        <w:tabs>
          <w:tab w:val="clear" w:pos="420"/>
          <w:tab w:val="clear" w:pos="4820"/>
        </w:tabs>
        <w:adjustRightInd w:val="0"/>
        <w:snapToGrid w:val="0"/>
        <w:spacing w:before="120" w:after="120"/>
        <w:ind w:left="0"/>
      </w:pPr>
      <w:bookmarkStart w:id="140" w:name="_Toc32462"/>
      <w:bookmarkStart w:id="141" w:name="_Toc18530"/>
      <w:bookmarkStart w:id="142" w:name="_Toc11905"/>
      <w:bookmarkStart w:id="143" w:name="_Toc2329"/>
      <w:bookmarkStart w:id="144" w:name="_Toc11222"/>
      <w:r>
        <w:t>CSI measurement results may be out-of-state if partial TxRUs are de-activated.</w:t>
      </w:r>
      <w:bookmarkEnd w:id="140"/>
      <w:bookmarkEnd w:id="141"/>
      <w:bookmarkEnd w:id="142"/>
      <w:bookmarkEnd w:id="143"/>
      <w:bookmarkEnd w:id="144"/>
      <w:r>
        <w:t xml:space="preserve"> </w:t>
      </w:r>
    </w:p>
    <w:p>
      <w:pPr>
        <w:spacing w:before="120" w:after="120"/>
        <w:rPr>
          <w:rFonts w:eastAsiaTheme="minorEastAsia"/>
        </w:rPr>
      </w:pPr>
      <w:r>
        <w:rPr>
          <w:rFonts w:hint="eastAsia" w:eastAsiaTheme="minorEastAsia"/>
        </w:rPr>
        <w:t xml:space="preserve">To summarize, there are two important issues that should be solved for </w:t>
      </w:r>
      <w:r>
        <w:rPr>
          <w:szCs w:val="21"/>
        </w:rPr>
        <w:t xml:space="preserve">dynamic </w:t>
      </w:r>
      <w:r>
        <w:rPr>
          <w:rFonts w:hint="eastAsia"/>
          <w:szCs w:val="21"/>
        </w:rPr>
        <w:t>TxRUs adaptation. O</w:t>
      </w:r>
      <w:r>
        <w:rPr>
          <w:szCs w:val="21"/>
        </w:rPr>
        <w:t xml:space="preserve">ne is to </w:t>
      </w:r>
      <w:r>
        <w:rPr>
          <w:rFonts w:hint="eastAsia"/>
          <w:szCs w:val="21"/>
        </w:rPr>
        <w:t xml:space="preserve">indicate the </w:t>
      </w:r>
      <w:r>
        <w:rPr>
          <w:szCs w:val="21"/>
        </w:rPr>
        <w:t>update</w:t>
      </w:r>
      <w:r>
        <w:rPr>
          <w:rFonts w:hint="eastAsia"/>
          <w:szCs w:val="21"/>
        </w:rPr>
        <w:t>d</w:t>
      </w:r>
      <w:r>
        <w:rPr>
          <w:szCs w:val="21"/>
        </w:rPr>
        <w:t xml:space="preserve"> number of ports</w:t>
      </w:r>
      <w:r>
        <w:rPr>
          <w:rFonts w:hint="eastAsia"/>
          <w:szCs w:val="21"/>
        </w:rPr>
        <w:t>,</w:t>
      </w:r>
      <w:r>
        <w:rPr>
          <w:szCs w:val="21"/>
        </w:rPr>
        <w:t xml:space="preserve"> </w:t>
      </w:r>
      <w:r>
        <w:rPr>
          <w:rFonts w:hint="eastAsia" w:eastAsiaTheme="minorEastAsia"/>
        </w:rPr>
        <w:t xml:space="preserve">and the other is </w:t>
      </w:r>
      <w:r>
        <w:rPr>
          <w:rFonts w:eastAsiaTheme="minorEastAsia"/>
        </w:rPr>
        <w:t xml:space="preserve">to </w:t>
      </w:r>
      <w:r>
        <w:rPr>
          <w:rFonts w:hint="eastAsia" w:eastAsiaTheme="minorEastAsia"/>
        </w:rPr>
        <w:t>provid</w:t>
      </w:r>
      <w:r>
        <w:rPr>
          <w:rFonts w:eastAsiaTheme="minorEastAsia"/>
        </w:rPr>
        <w:t>e</w:t>
      </w:r>
      <w:r>
        <w:rPr>
          <w:rFonts w:hint="eastAsia" w:eastAsiaTheme="minorEastAsia"/>
        </w:rPr>
        <w:t xml:space="preserve"> an accurate channel state</w:t>
      </w:r>
      <w:r>
        <w:rPr>
          <w:rFonts w:eastAsiaTheme="minorEastAsia"/>
        </w:rPr>
        <w:t xml:space="preserve"> information</w:t>
      </w:r>
      <w:r>
        <w:rPr>
          <w:rFonts w:hint="eastAsia" w:eastAsiaTheme="minorEastAsia"/>
        </w:rPr>
        <w:t xml:space="preserve"> by UE.</w:t>
      </w:r>
    </w:p>
    <w:p>
      <w:pPr>
        <w:pStyle w:val="28"/>
        <w:tabs>
          <w:tab w:val="clear" w:pos="420"/>
          <w:tab w:val="clear" w:pos="4820"/>
        </w:tabs>
        <w:adjustRightInd w:val="0"/>
        <w:snapToGrid w:val="0"/>
        <w:spacing w:before="120" w:after="120"/>
        <w:ind w:left="0"/>
        <w:rPr>
          <w:lang w:val="en-US" w:eastAsia="zh-CN"/>
        </w:rPr>
      </w:pPr>
      <w:bookmarkStart w:id="145" w:name="_Toc24995"/>
      <w:bookmarkStart w:id="146" w:name="_Toc231"/>
      <w:bookmarkStart w:id="147" w:name="_Toc6698"/>
      <w:bookmarkStart w:id="148" w:name="_Toc6288"/>
      <w:bookmarkStart w:id="149" w:name="_Toc19858"/>
      <w:r>
        <w:rPr>
          <w:lang w:val="en-US" w:eastAsia="zh-CN"/>
        </w:rPr>
        <w:t>The following issues need to be considered for dynamic spatial domain adaptation</w:t>
      </w:r>
      <w:bookmarkEnd w:id="145"/>
      <w:bookmarkEnd w:id="146"/>
      <w:bookmarkEnd w:id="147"/>
      <w:bookmarkEnd w:id="148"/>
      <w:bookmarkEnd w:id="149"/>
    </w:p>
    <w:p>
      <w:pPr>
        <w:pStyle w:val="35"/>
        <w:numPr>
          <w:ilvl w:val="0"/>
          <w:numId w:val="12"/>
        </w:numPr>
        <w:tabs>
          <w:tab w:val="left" w:pos="0"/>
        </w:tabs>
        <w:spacing w:after="120"/>
        <w:rPr>
          <w:rFonts w:eastAsiaTheme="minorEastAsia"/>
          <w:b/>
          <w:sz w:val="21"/>
          <w:szCs w:val="21"/>
        </w:rPr>
      </w:pPr>
      <w:r>
        <w:rPr>
          <w:rFonts w:eastAsiaTheme="minorEastAsia"/>
          <w:b/>
          <w:sz w:val="21"/>
          <w:szCs w:val="21"/>
        </w:rPr>
        <w:t xml:space="preserve">The </w:t>
      </w:r>
      <w:r>
        <w:rPr>
          <w:rFonts w:hint="eastAsia" w:eastAsiaTheme="minorEastAsia"/>
          <w:b/>
          <w:sz w:val="21"/>
          <w:szCs w:val="21"/>
        </w:rPr>
        <w:t>mismatch between</w:t>
      </w:r>
      <w:r>
        <w:rPr>
          <w:rFonts w:eastAsiaTheme="minorEastAsia"/>
          <w:b/>
          <w:sz w:val="21"/>
          <w:szCs w:val="21"/>
        </w:rPr>
        <w:t xml:space="preserve"> the</w:t>
      </w:r>
      <w:r>
        <w:rPr>
          <w:rFonts w:hint="eastAsia" w:eastAsiaTheme="minorEastAsia"/>
          <w:b/>
          <w:sz w:val="21"/>
          <w:szCs w:val="21"/>
        </w:rPr>
        <w:t> </w:t>
      </w:r>
      <w:r>
        <w:rPr>
          <w:rFonts w:eastAsiaTheme="minorEastAsia"/>
          <w:b/>
          <w:sz w:val="21"/>
          <w:szCs w:val="21"/>
        </w:rPr>
        <w:t>reference signal</w:t>
      </w:r>
      <w:r>
        <w:rPr>
          <w:rFonts w:hint="eastAsia" w:eastAsiaTheme="minorEastAsia"/>
          <w:b/>
          <w:sz w:val="21"/>
          <w:szCs w:val="21"/>
        </w:rPr>
        <w:t xml:space="preserve"> configurations, including CSI-RS, and the number of TxRUs.</w:t>
      </w:r>
    </w:p>
    <w:p>
      <w:pPr>
        <w:pStyle w:val="35"/>
        <w:numPr>
          <w:ilvl w:val="0"/>
          <w:numId w:val="12"/>
        </w:numPr>
        <w:tabs>
          <w:tab w:val="left" w:pos="0"/>
        </w:tabs>
        <w:spacing w:after="120"/>
        <w:rPr>
          <w:rFonts w:eastAsiaTheme="minorEastAsia"/>
          <w:b/>
          <w:sz w:val="21"/>
          <w:szCs w:val="21"/>
        </w:rPr>
      </w:pPr>
      <w:r>
        <w:rPr>
          <w:rFonts w:hint="eastAsia" w:eastAsiaTheme="minorEastAsia"/>
          <w:b/>
          <w:sz w:val="21"/>
          <w:szCs w:val="21"/>
        </w:rPr>
        <w:t>The m</w:t>
      </w:r>
      <w:r>
        <w:rPr>
          <w:rFonts w:eastAsiaTheme="minorEastAsia"/>
          <w:b/>
          <w:sz w:val="21"/>
          <w:szCs w:val="21"/>
        </w:rPr>
        <w:t>easurement</w:t>
      </w:r>
      <w:r>
        <w:rPr>
          <w:rFonts w:hint="eastAsia" w:eastAsiaTheme="minorEastAsia"/>
          <w:b/>
          <w:sz w:val="21"/>
          <w:szCs w:val="21"/>
        </w:rPr>
        <w:t>/report</w:t>
      </w:r>
      <w:r>
        <w:rPr>
          <w:rFonts w:eastAsiaTheme="minorEastAsia"/>
          <w:b/>
          <w:sz w:val="21"/>
          <w:szCs w:val="21"/>
        </w:rPr>
        <w:t xml:space="preserve"> results, including CSI measurement</w:t>
      </w:r>
      <w:r>
        <w:rPr>
          <w:rFonts w:hint="eastAsia" w:eastAsiaTheme="minorEastAsia"/>
          <w:b/>
          <w:sz w:val="21"/>
          <w:szCs w:val="21"/>
        </w:rPr>
        <w:t xml:space="preserve">/report, </w:t>
      </w:r>
      <w:r>
        <w:rPr>
          <w:rFonts w:eastAsiaTheme="minorEastAsia"/>
          <w:b/>
          <w:sz w:val="21"/>
          <w:szCs w:val="21"/>
        </w:rPr>
        <w:t>may be out-of-state</w:t>
      </w:r>
      <w:r>
        <w:rPr>
          <w:rFonts w:hint="eastAsia" w:eastAsiaTheme="minorEastAsia"/>
          <w:b/>
          <w:sz w:val="21"/>
          <w:szCs w:val="21"/>
        </w:rPr>
        <w:t xml:space="preserve"> even if the reference signal configuration does not need to be updated.</w:t>
      </w:r>
    </w:p>
    <w:p>
      <w:pPr>
        <w:spacing w:before="120" w:after="120"/>
        <w:rPr>
          <w:rFonts w:eastAsiaTheme="minorEastAsia"/>
        </w:rPr>
      </w:pPr>
      <w:bookmarkStart w:id="150" w:name="_Toc23518"/>
      <w:r>
        <w:rPr>
          <w:rFonts w:hint="eastAsia"/>
          <w:szCs w:val="21"/>
        </w:rPr>
        <w:t xml:space="preserve">For the first </w:t>
      </w:r>
      <w:r>
        <w:rPr>
          <w:szCs w:val="21"/>
        </w:rPr>
        <w:t>issue</w:t>
      </w:r>
      <w:r>
        <w:rPr>
          <w:rFonts w:hint="eastAsia"/>
          <w:szCs w:val="21"/>
        </w:rPr>
        <w:t>, i</w:t>
      </w:r>
      <w:r>
        <w:rPr>
          <w:rFonts w:hint="eastAsia" w:eastAsiaTheme="minorEastAsia"/>
        </w:rPr>
        <w:t>t</w:t>
      </w:r>
      <w:r>
        <w:rPr>
          <w:rFonts w:eastAsiaTheme="minorEastAsia"/>
        </w:rPr>
        <w:t xml:space="preserve"> will be</w:t>
      </w:r>
      <w:r>
        <w:rPr>
          <w:rFonts w:hint="eastAsia" w:eastAsiaTheme="minorEastAsia"/>
        </w:rPr>
        <w:t xml:space="preserve"> helpful if the reference signal configurations can be dynamically changed</w:t>
      </w:r>
      <w:r>
        <w:rPr>
          <w:rFonts w:eastAsiaTheme="minorEastAsia"/>
        </w:rPr>
        <w:t xml:space="preserve"> </w:t>
      </w:r>
      <w:r>
        <w:rPr>
          <w:rFonts w:hint="eastAsia" w:eastAsiaTheme="minorEastAsia"/>
        </w:rPr>
        <w:t>by DCI or MAC CE. For example, an indication of available maximum CSI-RS port number can be used to notify UE the updated CSI-RS resources, UE can stop measuring on the invalid CSI-RS resources</w:t>
      </w:r>
      <w:r>
        <w:rPr>
          <w:rFonts w:eastAsiaTheme="minorEastAsia"/>
        </w:rPr>
        <w:t xml:space="preserve"> </w:t>
      </w:r>
      <w:r>
        <w:rPr>
          <w:rFonts w:hint="eastAsia" w:eastAsiaTheme="minorEastAsia"/>
        </w:rPr>
        <w:t>(e.g., CSI-RS resource with port configuration greater than the maximum CSI-RS port number) and provides a more accuracy measurement results.</w:t>
      </w:r>
    </w:p>
    <w:p>
      <w:pPr>
        <w:spacing w:before="120" w:after="120"/>
        <w:rPr>
          <w:rFonts w:eastAsiaTheme="minorEastAsia"/>
        </w:rPr>
      </w:pPr>
      <w:r>
        <w:rPr>
          <w:rFonts w:hint="eastAsia" w:eastAsiaTheme="minorEastAsia"/>
        </w:rPr>
        <w:t xml:space="preserve">For the second </w:t>
      </w:r>
      <w:r>
        <w:rPr>
          <w:szCs w:val="21"/>
        </w:rPr>
        <w:t>issue</w:t>
      </w:r>
      <w:r>
        <w:rPr>
          <w:rFonts w:hint="eastAsia" w:eastAsiaTheme="minorEastAsia"/>
        </w:rPr>
        <w:t>, UE needs to drop the previous measurement results and re-measure according to the new CSI-RS after spatial domain adaptation. To realize the timely and accurate CSI reporting, UE should know when the gNB adapt</w:t>
      </w:r>
      <w:r>
        <w:rPr>
          <w:rFonts w:eastAsiaTheme="minorEastAsia"/>
        </w:rPr>
        <w:t>s</w:t>
      </w:r>
      <w:r>
        <w:rPr>
          <w:rFonts w:hint="eastAsia" w:eastAsiaTheme="minorEastAsia"/>
        </w:rPr>
        <w:t xml:space="preserve"> the antenna </w:t>
      </w:r>
      <w:r>
        <w:rPr>
          <w:rFonts w:eastAsiaTheme="minorEastAsia"/>
        </w:rPr>
        <w:t xml:space="preserve">and </w:t>
      </w:r>
      <w:r>
        <w:rPr>
          <w:rFonts w:hint="eastAsia" w:eastAsiaTheme="minorEastAsia"/>
        </w:rPr>
        <w:t>perform CSI measurement</w:t>
      </w:r>
      <w:r>
        <w:rPr>
          <w:rFonts w:eastAsiaTheme="minorEastAsia"/>
        </w:rPr>
        <w:t>/</w:t>
      </w:r>
      <w:r>
        <w:rPr>
          <w:rFonts w:hint="eastAsia" w:eastAsiaTheme="minorEastAsia"/>
        </w:rPr>
        <w:t>report accordingly.</w:t>
      </w:r>
    </w:p>
    <w:p>
      <w:pPr>
        <w:spacing w:before="120" w:after="120"/>
        <w:rPr>
          <w:rFonts w:eastAsiaTheme="minorEastAsia"/>
        </w:rPr>
      </w:pPr>
      <w:r>
        <w:rPr>
          <w:rFonts w:hint="eastAsia" w:eastAsiaTheme="minorEastAsia"/>
        </w:rPr>
        <w:t>Another method to reduce the influence of</w:t>
      </w:r>
      <w:r>
        <w:rPr>
          <w:rFonts w:eastAsiaTheme="minorEastAsia"/>
        </w:rPr>
        <w:t xml:space="preserve"> TxRU de-activation </w:t>
      </w:r>
      <w:r>
        <w:rPr>
          <w:rFonts w:hint="eastAsia" w:eastAsiaTheme="minorEastAsia"/>
        </w:rPr>
        <w:t xml:space="preserve">is that UE can </w:t>
      </w:r>
      <w:r>
        <w:rPr>
          <w:rFonts w:eastAsiaTheme="minorEastAsia"/>
        </w:rPr>
        <w:t>report</w:t>
      </w:r>
      <w:r>
        <w:rPr>
          <w:rFonts w:hint="eastAsia" w:eastAsiaTheme="minorEastAsia"/>
        </w:rPr>
        <w:t xml:space="preserve"> CSI based on different port</w:t>
      </w:r>
      <w:r>
        <w:rPr>
          <w:rFonts w:eastAsiaTheme="minorEastAsia"/>
        </w:rPr>
        <w:t>s</w:t>
      </w:r>
      <w:r>
        <w:rPr>
          <w:rFonts w:hint="eastAsia" w:eastAsiaTheme="minorEastAsia"/>
        </w:rPr>
        <w:t xml:space="preserve"> or assistant information</w:t>
      </w:r>
      <w:r>
        <w:rPr>
          <w:rFonts w:eastAsiaTheme="minorEastAsia"/>
        </w:rPr>
        <w:t xml:space="preserve"> </w:t>
      </w:r>
      <w:r>
        <w:rPr>
          <w:rFonts w:hint="eastAsia" w:eastAsiaTheme="minorEastAsia"/>
        </w:rPr>
        <w:t xml:space="preserve">(e.g., preferred maximum </w:t>
      </w:r>
      <w:r>
        <w:rPr>
          <w:rFonts w:eastAsiaTheme="minorEastAsia"/>
        </w:rPr>
        <w:t xml:space="preserve">number of </w:t>
      </w:r>
      <w:r>
        <w:rPr>
          <w:rFonts w:hint="eastAsia" w:eastAsiaTheme="minorEastAsia"/>
        </w:rPr>
        <w:t>port</w:t>
      </w:r>
      <w:r>
        <w:rPr>
          <w:rFonts w:eastAsiaTheme="minorEastAsia"/>
        </w:rPr>
        <w:t>s</w:t>
      </w:r>
      <w:r>
        <w:rPr>
          <w:rFonts w:hint="eastAsia" w:eastAsiaTheme="minorEastAsia"/>
        </w:rPr>
        <w:t xml:space="preserve">) to gNB, so that gNB can make a better decision on </w:t>
      </w:r>
      <w:r>
        <w:rPr>
          <w:rFonts w:eastAsiaTheme="minorEastAsia"/>
        </w:rPr>
        <w:t>TxRUs</w:t>
      </w:r>
      <w:r>
        <w:rPr>
          <w:rFonts w:hint="eastAsia" w:eastAsiaTheme="minorEastAsia"/>
        </w:rPr>
        <w:t xml:space="preserve"> off</w:t>
      </w:r>
      <w:r>
        <w:rPr>
          <w:rFonts w:eastAsiaTheme="minorEastAsia"/>
        </w:rPr>
        <w:t>/on</w:t>
      </w:r>
      <w:r>
        <w:rPr>
          <w:rFonts w:hint="eastAsia" w:eastAsiaTheme="minorEastAsia"/>
        </w:rPr>
        <w:t xml:space="preserve"> operation.</w:t>
      </w:r>
      <w:r>
        <w:rPr>
          <w:rFonts w:eastAsiaTheme="minorEastAsia"/>
        </w:rPr>
        <w:t xml:space="preserve"> Moreover</w:t>
      </w:r>
      <w:r>
        <w:rPr>
          <w:rFonts w:hint="eastAsia" w:eastAsiaTheme="minorEastAsia"/>
        </w:rPr>
        <w:t>, a dynamic adaptation considering UE feedback</w:t>
      </w:r>
      <w:r>
        <w:rPr>
          <w:rFonts w:eastAsiaTheme="minorEastAsia"/>
        </w:rPr>
        <w:t>/</w:t>
      </w:r>
      <w:r>
        <w:rPr>
          <w:rFonts w:hint="eastAsia" w:eastAsiaTheme="minorEastAsia"/>
        </w:rPr>
        <w:t xml:space="preserve">assistance information, and traffic arrival can be considered to explore network </w:t>
      </w:r>
      <w:r>
        <w:rPr>
          <w:szCs w:val="21"/>
        </w:rPr>
        <w:t xml:space="preserve">energy </w:t>
      </w:r>
      <w:r>
        <w:rPr>
          <w:rFonts w:hint="eastAsia" w:eastAsiaTheme="minorEastAsia"/>
        </w:rPr>
        <w:t>saving gain and minimize the system performance impact.</w:t>
      </w:r>
    </w:p>
    <w:p>
      <w:pPr>
        <w:pStyle w:val="29"/>
        <w:spacing w:before="120" w:after="120"/>
        <w:rPr>
          <w:lang w:val="en-US" w:eastAsia="zh-CN"/>
        </w:rPr>
      </w:pPr>
      <w:bookmarkStart w:id="151" w:name="_Toc10242"/>
      <w:bookmarkStart w:id="152" w:name="_Toc8291"/>
      <w:bookmarkStart w:id="153" w:name="_Toc15471"/>
      <w:bookmarkStart w:id="154" w:name="_Toc9165"/>
      <w:bookmarkStart w:id="155" w:name="_Hlk115361672"/>
      <w:r>
        <w:rPr>
          <w:lang w:val="en-US" w:eastAsia="zh-CN"/>
        </w:rPr>
        <w:t>Dynamic indication of CSI-RS re-configuration via DCI or MAC CE for spatial domain adaptation should be supported.</w:t>
      </w:r>
      <w:bookmarkEnd w:id="151"/>
      <w:bookmarkEnd w:id="152"/>
      <w:bookmarkEnd w:id="153"/>
      <w:bookmarkEnd w:id="154"/>
    </w:p>
    <w:bookmarkEnd w:id="155"/>
    <w:p>
      <w:pPr>
        <w:pStyle w:val="29"/>
        <w:spacing w:before="120" w:after="120"/>
        <w:rPr>
          <w:lang w:val="en-US" w:eastAsia="zh-CN"/>
        </w:rPr>
      </w:pPr>
      <w:bookmarkStart w:id="156" w:name="_Toc22022"/>
      <w:bookmarkStart w:id="157" w:name="_Toc891"/>
      <w:bookmarkStart w:id="158" w:name="_Toc19566"/>
      <w:bookmarkStart w:id="159" w:name="_Toc20301"/>
      <w:r>
        <w:rPr>
          <w:lang w:val="en-US" w:eastAsia="zh-CN"/>
        </w:rPr>
        <w:t>The enhancement on CSI measurement/report or UE assistance information should be considered for spatial domain adaptation.</w:t>
      </w:r>
      <w:bookmarkEnd w:id="156"/>
      <w:bookmarkEnd w:id="157"/>
      <w:bookmarkEnd w:id="158"/>
      <w:bookmarkEnd w:id="159"/>
    </w:p>
    <w:p>
      <w:pPr>
        <w:spacing w:before="120" w:after="120"/>
        <w:rPr>
          <w:rFonts w:eastAsiaTheme="minorEastAsia"/>
        </w:rPr>
      </w:pPr>
      <w:r>
        <w:rPr>
          <w:rFonts w:hint="eastAsia" w:eastAsiaTheme="minorEastAsia"/>
        </w:rPr>
        <w:t>B</w:t>
      </w:r>
      <w:r>
        <w:rPr>
          <w:rFonts w:eastAsiaTheme="minorEastAsia"/>
        </w:rPr>
        <w:t>ased on the above discussion, we have following proposal.</w:t>
      </w:r>
    </w:p>
    <w:p>
      <w:pPr>
        <w:pStyle w:val="29"/>
        <w:spacing w:before="120" w:after="120"/>
        <w:rPr>
          <w:lang w:val="en-US" w:eastAsia="zh-CN"/>
        </w:rPr>
      </w:pPr>
      <w:bookmarkStart w:id="160" w:name="_Toc22388"/>
      <w:bookmarkStart w:id="161" w:name="_Toc32284"/>
      <w:bookmarkStart w:id="162" w:name="_Toc22867"/>
      <w:bookmarkStart w:id="163" w:name="_Toc25056"/>
      <w:r>
        <w:rPr>
          <w:rFonts w:hint="eastAsia"/>
          <w:lang w:val="en-US" w:eastAsia="zh-CN"/>
        </w:rPr>
        <w:t>Capture the following description of dynamic adaptation of spatial elements</w:t>
      </w:r>
      <w:bookmarkEnd w:id="160"/>
      <w:bookmarkEnd w:id="161"/>
      <w:bookmarkEnd w:id="162"/>
      <w:bookmarkEnd w:id="163"/>
      <w:r>
        <w:rPr>
          <w:rFonts w:hint="eastAsia"/>
          <w:lang w:val="en-US" w:eastAsia="zh-CN"/>
        </w:rPr>
        <w:t xml:space="preserve"> in TR</w:t>
      </w:r>
    </w:p>
    <w:p>
      <w:pPr>
        <w:pStyle w:val="29"/>
        <w:numPr>
          <w:ilvl w:val="1"/>
          <w:numId w:val="3"/>
        </w:numPr>
        <w:tabs>
          <w:tab w:val="clear" w:pos="840"/>
        </w:tabs>
        <w:spacing w:before="120" w:after="120"/>
        <w:rPr>
          <w:lang w:val="en-US" w:eastAsia="zh-CN"/>
        </w:rPr>
      </w:pPr>
      <w:bookmarkStart w:id="164" w:name="_Toc13456"/>
      <w:bookmarkStart w:id="165" w:name="_Toc7989"/>
      <w:bookmarkStart w:id="166" w:name="_Toc1429"/>
      <w:bookmarkStart w:id="167" w:name="_Toc28400"/>
      <w:r>
        <w:rPr>
          <w:rFonts w:hint="eastAsia"/>
          <w:lang w:val="en-US" w:eastAsia="zh-CN"/>
        </w:rPr>
        <w:t>Adaptation can be further categorized into two types:</w:t>
      </w:r>
      <w:bookmarkEnd w:id="164"/>
      <w:bookmarkEnd w:id="165"/>
      <w:bookmarkEnd w:id="166"/>
      <w:bookmarkEnd w:id="167"/>
    </w:p>
    <w:p>
      <w:pPr>
        <w:pStyle w:val="29"/>
        <w:numPr>
          <w:ilvl w:val="0"/>
          <w:numId w:val="13"/>
        </w:numPr>
        <w:tabs>
          <w:tab w:val="clear" w:pos="840"/>
        </w:tabs>
        <w:spacing w:before="120" w:after="120"/>
        <w:rPr>
          <w:lang w:val="en-US" w:eastAsia="zh-CN"/>
        </w:rPr>
      </w:pPr>
      <w:bookmarkStart w:id="168" w:name="_Toc21759"/>
      <w:bookmarkStart w:id="169" w:name="_Toc11048"/>
      <w:bookmarkStart w:id="170" w:name="_Toc11076"/>
      <w:bookmarkStart w:id="171" w:name="_Toc2052"/>
      <w:r>
        <w:rPr>
          <w:rFonts w:hint="eastAsia"/>
          <w:lang w:val="en-US" w:eastAsia="zh-CN"/>
        </w:rPr>
        <w:t>Type 1: enable/disable all spatial elements associated to a logical antenna port, e.g. a subset of ports of a CSI-RS resource.</w:t>
      </w:r>
      <w:bookmarkEnd w:id="168"/>
      <w:bookmarkEnd w:id="169"/>
      <w:bookmarkEnd w:id="170"/>
      <w:bookmarkEnd w:id="171"/>
    </w:p>
    <w:p>
      <w:pPr>
        <w:pStyle w:val="29"/>
        <w:numPr>
          <w:ilvl w:val="0"/>
          <w:numId w:val="13"/>
        </w:numPr>
        <w:tabs>
          <w:tab w:val="clear" w:pos="840"/>
        </w:tabs>
        <w:spacing w:before="120" w:after="120"/>
        <w:rPr>
          <w:lang w:val="en-US" w:eastAsia="zh-CN"/>
        </w:rPr>
      </w:pPr>
      <w:bookmarkStart w:id="172" w:name="_Toc6590"/>
      <w:bookmarkStart w:id="173" w:name="_Toc17580"/>
      <w:bookmarkStart w:id="174" w:name="_Toc10526"/>
      <w:bookmarkStart w:id="175" w:name="_Toc24198"/>
      <w:r>
        <w:rPr>
          <w:rFonts w:hint="eastAsia"/>
          <w:lang w:val="en-US" w:eastAsia="zh-CN"/>
        </w:rPr>
        <w:t>Type 2: enable/disable of part of spatial elements associated to a logical antenna port(s).</w:t>
      </w:r>
      <w:bookmarkEnd w:id="172"/>
      <w:bookmarkEnd w:id="173"/>
      <w:bookmarkEnd w:id="174"/>
      <w:bookmarkEnd w:id="175"/>
    </w:p>
    <w:p>
      <w:pPr>
        <w:pStyle w:val="29"/>
        <w:numPr>
          <w:ilvl w:val="1"/>
          <w:numId w:val="3"/>
        </w:numPr>
        <w:tabs>
          <w:tab w:val="clear" w:pos="840"/>
        </w:tabs>
        <w:spacing w:before="120" w:after="120"/>
        <w:rPr>
          <w:lang w:val="en-US" w:eastAsia="zh-CN"/>
        </w:rPr>
      </w:pPr>
      <w:bookmarkStart w:id="176" w:name="_Toc25719"/>
      <w:bookmarkStart w:id="177" w:name="_Toc11455"/>
      <w:bookmarkStart w:id="178" w:name="_Toc6908"/>
      <w:bookmarkStart w:id="179" w:name="_Toc18951"/>
      <w:r>
        <w:rPr>
          <w:rFonts w:hint="eastAsia"/>
          <w:lang w:val="en-US" w:eastAsia="zh-CN"/>
        </w:rPr>
        <w:t xml:space="preserve">UE should be informed an information about the adaptation from gNB via DCI or MAC CE, and perform CSI measurements and reporting according to the </w:t>
      </w:r>
      <w:r>
        <w:rPr>
          <w:lang w:val="en-US" w:eastAsia="zh-CN"/>
        </w:rPr>
        <w:t>indication</w:t>
      </w:r>
      <w:r>
        <w:rPr>
          <w:rFonts w:hint="eastAsia"/>
          <w:lang w:val="en-US" w:eastAsia="zh-CN"/>
        </w:rPr>
        <w:t>.</w:t>
      </w:r>
      <w:bookmarkEnd w:id="176"/>
      <w:bookmarkEnd w:id="177"/>
      <w:bookmarkEnd w:id="178"/>
      <w:bookmarkEnd w:id="179"/>
    </w:p>
    <w:p>
      <w:pPr>
        <w:pStyle w:val="29"/>
        <w:numPr>
          <w:ilvl w:val="0"/>
          <w:numId w:val="13"/>
        </w:numPr>
        <w:tabs>
          <w:tab w:val="clear" w:pos="840"/>
        </w:tabs>
        <w:spacing w:before="120" w:after="120"/>
        <w:rPr>
          <w:color w:val="000000" w:themeColor="text1"/>
          <w:lang w:val="en-US" w:eastAsia="zh-CN"/>
          <w14:textFill>
            <w14:solidFill>
              <w14:schemeClr w14:val="tx1"/>
            </w14:solidFill>
          </w14:textFill>
        </w:rPr>
      </w:pPr>
      <w:bookmarkStart w:id="180" w:name="_Toc4807"/>
      <w:bookmarkStart w:id="181" w:name="_Toc19273"/>
      <w:bookmarkStart w:id="182" w:name="_Toc16111"/>
      <w:bookmarkStart w:id="183" w:name="_Toc9201"/>
      <w:r>
        <w:rPr>
          <w:rFonts w:hint="eastAsia"/>
          <w:color w:val="000000" w:themeColor="text1"/>
          <w:lang w:val="en-US" w:eastAsia="zh-CN"/>
          <w14:textFill>
            <w14:solidFill>
              <w14:schemeClr w14:val="tx1"/>
            </w14:solidFill>
          </w14:textFill>
        </w:rPr>
        <w:t xml:space="preserve">The </w:t>
      </w:r>
      <w:r>
        <w:rPr>
          <w:lang w:val="en-US" w:eastAsia="zh-CN"/>
        </w:rPr>
        <w:t>indication</w:t>
      </w:r>
      <w:r>
        <w:rPr>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include</w:t>
      </w:r>
      <w:r>
        <w:rPr>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e.g., CSI-RS/reporting re-configuration information.</w:t>
      </w:r>
      <w:bookmarkEnd w:id="180"/>
      <w:bookmarkEnd w:id="181"/>
      <w:r>
        <w:rPr>
          <w:color w:val="000000" w:themeColor="text1"/>
          <w:lang w:val="en-US" w:eastAsia="zh-CN"/>
          <w14:textFill>
            <w14:solidFill>
              <w14:schemeClr w14:val="tx1"/>
            </w14:solidFill>
          </w14:textFill>
        </w:rPr>
        <w:t xml:space="preserve"> It can be </w:t>
      </w:r>
      <w:r>
        <w:rPr>
          <w:rFonts w:hint="eastAsia"/>
          <w:color w:val="000000" w:themeColor="text1"/>
          <w:lang w:val="en-US" w:eastAsia="zh-CN"/>
          <w14:textFill>
            <w14:solidFill>
              <w14:schemeClr w14:val="tx1"/>
            </w14:solidFill>
          </w14:textFill>
        </w:rPr>
        <w:t xml:space="preserve">different for different </w:t>
      </w:r>
      <w:r>
        <w:rPr>
          <w:lang w:val="en-US" w:eastAsia="zh-CN"/>
        </w:rPr>
        <w:t>a</w:t>
      </w:r>
      <w:r>
        <w:rPr>
          <w:rFonts w:hint="eastAsia"/>
          <w:lang w:val="en-US" w:eastAsia="zh-CN"/>
        </w:rPr>
        <w:t xml:space="preserve">daptation </w:t>
      </w:r>
      <w:r>
        <w:rPr>
          <w:rFonts w:hint="eastAsia"/>
          <w:color w:val="000000" w:themeColor="text1"/>
          <w:lang w:val="en-US" w:eastAsia="zh-CN"/>
          <w14:textFill>
            <w14:solidFill>
              <w14:schemeClr w14:val="tx1"/>
            </w14:solidFill>
          </w14:textFill>
        </w:rPr>
        <w:t>types.</w:t>
      </w:r>
      <w:bookmarkEnd w:id="182"/>
      <w:bookmarkEnd w:id="183"/>
    </w:p>
    <w:p>
      <w:pPr>
        <w:pStyle w:val="29"/>
        <w:numPr>
          <w:ilvl w:val="0"/>
          <w:numId w:val="13"/>
        </w:numPr>
        <w:tabs>
          <w:tab w:val="clear" w:pos="840"/>
        </w:tabs>
        <w:spacing w:before="120" w:after="120"/>
        <w:rPr>
          <w:color w:val="000000" w:themeColor="text1"/>
          <w:lang w:val="en-US" w:eastAsia="zh-CN"/>
          <w14:textFill>
            <w14:solidFill>
              <w14:schemeClr w14:val="tx1"/>
            </w14:solidFill>
          </w14:textFill>
        </w:rPr>
      </w:pPr>
      <w:bookmarkStart w:id="184" w:name="_Toc2821"/>
      <w:bookmarkStart w:id="185" w:name="_Toc9906"/>
      <w:bookmarkStart w:id="186" w:name="_Toc4920"/>
      <w:bookmarkStart w:id="187" w:name="_Toc20605"/>
      <w:r>
        <w:rPr>
          <w:rFonts w:hint="eastAsia"/>
          <w:color w:val="000000" w:themeColor="text1"/>
          <w:lang w:val="en-US" w:eastAsia="zh-CN"/>
          <w14:textFill>
            <w14:solidFill>
              <w14:schemeClr w14:val="tx1"/>
            </w14:solidFill>
          </w14:textFill>
        </w:rPr>
        <w:t>Specification impact may include enhancing CSI measurement and reporting procedures, e.g., dynamic indicat</w:t>
      </w:r>
      <w:r>
        <w:rPr>
          <w:color w:val="000000" w:themeColor="text1"/>
          <w:lang w:val="en-US" w:eastAsia="zh-CN"/>
          <w14:textFill>
            <w14:solidFill>
              <w14:schemeClr w14:val="tx1"/>
            </w14:solidFill>
          </w14:textFill>
        </w:rPr>
        <w:t>ion of</w:t>
      </w:r>
      <w:r>
        <w:rPr>
          <w:rFonts w:hint="eastAsia"/>
          <w:color w:val="000000" w:themeColor="text1"/>
          <w:lang w:val="en-US" w:eastAsia="zh-CN"/>
          <w14:textFill>
            <w14:solidFill>
              <w14:schemeClr w14:val="tx1"/>
            </w14:solidFill>
          </w14:textFill>
        </w:rPr>
        <w:t xml:space="preserve"> re-configuration of CSI-RS, CSI feedback update, transmission power of the reference signal or channel update, UE assistance information.</w:t>
      </w:r>
      <w:bookmarkEnd w:id="184"/>
      <w:bookmarkEnd w:id="185"/>
      <w:bookmarkEnd w:id="186"/>
      <w:bookmarkEnd w:id="187"/>
    </w:p>
    <w:bookmarkEnd w:id="150"/>
    <w:p>
      <w:pPr>
        <w:spacing w:before="120" w:after="120"/>
      </w:pP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power domain</w:t>
      </w:r>
    </w:p>
    <w:p>
      <w:pPr>
        <w:spacing w:before="120" w:after="120"/>
      </w:pPr>
      <w:r>
        <w:rPr>
          <w:rFonts w:hint="eastAsia"/>
        </w:rPr>
        <w:t>Another straightforward method to reduce the network power consumption is reducing the downlink transmi</w:t>
      </w:r>
      <w:r>
        <w:t>ssion</w:t>
      </w:r>
      <w:r>
        <w:rPr>
          <w:rFonts w:hint="eastAsia"/>
        </w:rPr>
        <w:t xml:space="preserve"> power</w:t>
      </w:r>
      <w:r>
        <w:t xml:space="preserve"> in low/medium load scenarios</w:t>
      </w:r>
      <w:r>
        <w:rPr>
          <w:rFonts w:hint="eastAsia"/>
        </w:rPr>
        <w:t>.</w:t>
      </w:r>
    </w:p>
    <w:p>
      <w:pPr>
        <w:spacing w:before="120" w:after="120"/>
        <w:rPr>
          <w:lang w:bidi="ar"/>
        </w:rPr>
      </w:pPr>
      <w:r>
        <w:rPr>
          <w:rFonts w:hint="eastAsia"/>
          <w:lang w:bidi="ar"/>
        </w:rPr>
        <w:t xml:space="preserve">In the scenario shown in </w:t>
      </w:r>
      <w:r>
        <w:rPr>
          <w:rFonts w:hint="eastAsia"/>
          <w:lang w:bidi="ar"/>
        </w:rPr>
        <w:fldChar w:fldCharType="begin"/>
      </w:r>
      <w:r>
        <w:rPr>
          <w:rFonts w:hint="eastAsia"/>
          <w:lang w:bidi="ar"/>
        </w:rPr>
        <w:instrText xml:space="preserve"> REF _Ref15830 \h </w:instrText>
      </w:r>
      <w:r>
        <w:rPr>
          <w:lang w:bidi="ar"/>
        </w:rPr>
        <w:instrText xml:space="preserve"> \* MERGEFORMAT </w:instrText>
      </w:r>
      <w:r>
        <w:rPr>
          <w:rFonts w:hint="eastAsia"/>
          <w:lang w:bidi="ar"/>
        </w:rPr>
        <w:fldChar w:fldCharType="separate"/>
      </w:r>
      <w:r>
        <w:t>Figure 1</w:t>
      </w:r>
      <w:r>
        <w:rPr>
          <w:rFonts w:hint="eastAsia"/>
          <w:lang w:bidi="ar"/>
        </w:rPr>
        <w:fldChar w:fldCharType="end"/>
      </w:r>
      <w:r>
        <w:rPr>
          <w:rFonts w:hint="eastAsia"/>
        </w:rPr>
        <w:t>0</w:t>
      </w:r>
      <w:r>
        <w:rPr>
          <w:rFonts w:hint="eastAsia"/>
          <w:lang w:bidi="ar"/>
        </w:rPr>
        <w:t>, gNB provide</w:t>
      </w:r>
      <w:r>
        <w:rPr>
          <w:lang w:bidi="ar"/>
        </w:rPr>
        <w:t>s</w:t>
      </w:r>
      <w:r>
        <w:rPr>
          <w:rFonts w:hint="eastAsia"/>
          <w:lang w:bidi="ar"/>
        </w:rPr>
        <w:t xml:space="preserve"> full power allocation for the DL </w:t>
      </w:r>
      <w:r>
        <w:rPr>
          <w:lang w:bidi="ar"/>
        </w:rPr>
        <w:t>transmission</w:t>
      </w:r>
      <w:r>
        <w:rPr>
          <w:rFonts w:hint="eastAsia"/>
          <w:lang w:bidi="ar"/>
        </w:rPr>
        <w:t xml:space="preserve">. However, </w:t>
      </w:r>
      <w:r>
        <w:rPr>
          <w:lang w:bidi="ar"/>
        </w:rPr>
        <w:t xml:space="preserve">the </w:t>
      </w:r>
      <w:r>
        <w:rPr>
          <w:rFonts w:hint="eastAsia"/>
          <w:lang w:bidi="ar"/>
        </w:rPr>
        <w:t>fixed</w:t>
      </w:r>
      <w:r>
        <w:rPr>
          <w:lang w:bidi="ar"/>
        </w:rPr>
        <w:t xml:space="preserve"> transmission</w:t>
      </w:r>
      <w:r>
        <w:rPr>
          <w:rFonts w:hint="eastAsia"/>
          <w:lang w:bidi="ar"/>
        </w:rPr>
        <w:t xml:space="preserve"> power </w:t>
      </w:r>
      <w:r>
        <w:rPr>
          <w:lang w:bidi="ar"/>
        </w:rPr>
        <w:t>(</w:t>
      </w:r>
      <w:r>
        <w:rPr>
          <w:rFonts w:hint="eastAsia"/>
          <w:lang w:bidi="ar"/>
        </w:rPr>
        <w:t>e</w:t>
      </w:r>
      <w:r>
        <w:rPr>
          <w:lang w:bidi="ar"/>
        </w:rPr>
        <w:t>.g., PSD)</w:t>
      </w:r>
      <w:r>
        <w:rPr>
          <w:rFonts w:hint="eastAsia"/>
          <w:lang w:bidi="ar"/>
        </w:rPr>
        <w:t xml:space="preserve"> </w:t>
      </w:r>
      <w:r>
        <w:rPr>
          <w:lang w:bidi="ar"/>
        </w:rPr>
        <w:t>is not beneficial to</w:t>
      </w:r>
      <w:r>
        <w:rPr>
          <w:rFonts w:hint="eastAsia"/>
          <w:lang w:bidi="ar"/>
        </w:rPr>
        <w:t xml:space="preserve"> NW power consumption. </w:t>
      </w:r>
      <w:r>
        <w:rPr>
          <w:lang w:bidi="ar"/>
        </w:rPr>
        <w:t>Meanwhile,</w:t>
      </w:r>
      <w:r>
        <w:rPr>
          <w:rFonts w:hint="eastAsia"/>
          <w:lang w:bidi="ar"/>
        </w:rPr>
        <w:t xml:space="preserve"> fixed</w:t>
      </w:r>
      <w:r>
        <w:rPr>
          <w:lang w:bidi="ar"/>
        </w:rPr>
        <w:t xml:space="preserve"> PSD</w:t>
      </w:r>
      <w:r>
        <w:rPr>
          <w:rFonts w:hint="eastAsia"/>
          <w:lang w:bidi="ar"/>
        </w:rPr>
        <w:t xml:space="preserve"> would </w:t>
      </w:r>
      <w:r>
        <w:rPr>
          <w:lang w:bidi="ar"/>
        </w:rPr>
        <w:t xml:space="preserve">also </w:t>
      </w:r>
      <w:r>
        <w:rPr>
          <w:rFonts w:hint="eastAsia"/>
          <w:lang w:bidi="ar"/>
        </w:rPr>
        <w:t xml:space="preserve">cause </w:t>
      </w:r>
      <w:r>
        <w:rPr>
          <w:lang w:bidi="ar"/>
        </w:rPr>
        <w:t>constant</w:t>
      </w:r>
      <w:r>
        <w:rPr>
          <w:rFonts w:hint="eastAsia"/>
          <w:lang w:bidi="ar"/>
        </w:rPr>
        <w:t xml:space="preserve"> interference </w:t>
      </w:r>
      <w:r>
        <w:rPr>
          <w:lang w:bidi="ar"/>
        </w:rPr>
        <w:t>to</w:t>
      </w:r>
      <w:r>
        <w:rPr>
          <w:rFonts w:hint="eastAsia"/>
          <w:lang w:bidi="ar"/>
        </w:rPr>
        <w:t xml:space="preserve"> another base station</w:t>
      </w:r>
      <w:r>
        <w:rPr>
          <w:lang w:bidi="ar"/>
        </w:rPr>
        <w:t>/UE</w:t>
      </w:r>
      <w:r>
        <w:rPr>
          <w:rFonts w:hint="eastAsia"/>
          <w:lang w:bidi="ar"/>
        </w:rPr>
        <w:t xml:space="preserve">. As a consequence, the interference would </w:t>
      </w:r>
      <w:r>
        <w:rPr>
          <w:lang w:bidi="ar"/>
        </w:rPr>
        <w:t>result in</w:t>
      </w:r>
      <w:r>
        <w:rPr>
          <w:rFonts w:hint="eastAsia"/>
          <w:lang w:bidi="ar"/>
        </w:rPr>
        <w:t xml:space="preserve"> more retransmission for both gNB and UE, which cost</w:t>
      </w:r>
      <w:r>
        <w:rPr>
          <w:lang w:bidi="ar"/>
        </w:rPr>
        <w:t>s</w:t>
      </w:r>
      <w:r>
        <w:rPr>
          <w:rFonts w:hint="eastAsia"/>
          <w:lang w:bidi="ar"/>
        </w:rPr>
        <w:t xml:space="preserve"> more power consumption. </w:t>
      </w:r>
    </w:p>
    <w:p>
      <w:pPr>
        <w:spacing w:before="120" w:after="120"/>
        <w:jc w:val="center"/>
      </w:pPr>
      <w:r>
        <w:drawing>
          <wp:inline distT="0" distB="0" distL="114300" distR="114300">
            <wp:extent cx="2621915" cy="1619885"/>
            <wp:effectExtent l="0" t="0" r="14605" b="1079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21"/>
                    <a:stretch>
                      <a:fillRect/>
                    </a:stretch>
                  </pic:blipFill>
                  <pic:spPr>
                    <a:xfrm>
                      <a:off x="0" y="0"/>
                      <a:ext cx="2621915" cy="1619885"/>
                    </a:xfrm>
                    <a:prstGeom prst="rect">
                      <a:avLst/>
                    </a:prstGeom>
                    <a:noFill/>
                    <a:ln>
                      <a:noFill/>
                    </a:ln>
                  </pic:spPr>
                </pic:pic>
              </a:graphicData>
            </a:graphic>
          </wp:inline>
        </w:drawing>
      </w:r>
    </w:p>
    <w:p>
      <w:pPr>
        <w:spacing w:before="120" w:after="120"/>
        <w:jc w:val="center"/>
      </w:pPr>
      <w:r>
        <w:t>Figure 1</w:t>
      </w:r>
      <w:r>
        <w:rPr>
          <w:rFonts w:hint="eastAsia"/>
        </w:rPr>
        <w:t xml:space="preserve">0 Fixed DL </w:t>
      </w:r>
      <w:r>
        <w:t xml:space="preserve">transmission </w:t>
      </w:r>
      <w:r>
        <w:rPr>
          <w:rFonts w:hint="eastAsia"/>
        </w:rPr>
        <w:t xml:space="preserve">power causes interference and NW power </w:t>
      </w:r>
      <w:r>
        <w:t>consumption</w:t>
      </w:r>
    </w:p>
    <w:p>
      <w:pPr>
        <w:spacing w:before="120" w:after="120"/>
        <w:rPr>
          <w:lang w:bidi="ar"/>
        </w:rPr>
      </w:pPr>
      <w:r>
        <w:rPr>
          <w:rFonts w:hint="eastAsia"/>
          <w:lang w:bidi="ar"/>
        </w:rPr>
        <w:t xml:space="preserve">  </w:t>
      </w:r>
    </w:p>
    <w:p>
      <w:pPr>
        <w:pStyle w:val="28"/>
        <w:tabs>
          <w:tab w:val="clear" w:pos="420"/>
          <w:tab w:val="clear" w:pos="4820"/>
        </w:tabs>
        <w:adjustRightInd w:val="0"/>
        <w:snapToGrid w:val="0"/>
        <w:spacing w:before="120" w:after="120"/>
        <w:ind w:left="0"/>
      </w:pPr>
      <w:bookmarkStart w:id="188" w:name="_Toc13952"/>
      <w:bookmarkStart w:id="189" w:name="_Toc18322"/>
      <w:bookmarkStart w:id="190" w:name="_Toc22538"/>
      <w:bookmarkStart w:id="191" w:name="_Toc26868"/>
      <w:bookmarkStart w:id="192" w:name="_Toc16783"/>
      <w:r>
        <w:t>Fixed DL transmission power cannot adapt to requirements of NW power saving, UE power saving and interference management.</w:t>
      </w:r>
      <w:bookmarkEnd w:id="188"/>
      <w:bookmarkEnd w:id="189"/>
      <w:bookmarkEnd w:id="190"/>
      <w:bookmarkEnd w:id="191"/>
      <w:bookmarkEnd w:id="192"/>
    </w:p>
    <w:p>
      <w:pPr>
        <w:spacing w:before="120" w:after="120"/>
      </w:pPr>
      <w:r>
        <w:rPr>
          <w:rFonts w:hint="eastAsia"/>
        </w:rPr>
        <w:t xml:space="preserve">For the PDSCH transmission, the reported CQI can indicate the channel condition. If the channel condition becomes worse, more resource allocation via lower MCS or repetition times would be applied. However, if </w:t>
      </w:r>
      <w:r>
        <w:t>appropriate</w:t>
      </w:r>
      <w:r>
        <w:rPr>
          <w:rFonts w:hint="eastAsia"/>
        </w:rPr>
        <w:t xml:space="preserve"> dynamic power adaptation</w:t>
      </w:r>
      <w:r>
        <w:t xml:space="preserve"> is considered</w:t>
      </w:r>
      <w:r>
        <w:rPr>
          <w:rFonts w:hint="eastAsia"/>
        </w:rPr>
        <w:t xml:space="preserve">, </w:t>
      </w:r>
      <w:r>
        <w:t>the transmission occasions can be reduced, which would be beneficial to both network and UE power saving</w:t>
      </w:r>
      <w:r>
        <w:rPr>
          <w:rFonts w:hint="eastAsia"/>
        </w:rPr>
        <w:t>.</w:t>
      </w:r>
    </w:p>
    <w:p>
      <w:pPr>
        <w:spacing w:before="120" w:after="120"/>
      </w:pPr>
      <w:r>
        <w:drawing>
          <wp:inline distT="0" distB="0" distL="114300" distR="114300">
            <wp:extent cx="6130925" cy="2334895"/>
            <wp:effectExtent l="0" t="0" r="10795" b="12065"/>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pic:cNvPicPr>
                  </pic:nvPicPr>
                  <pic:blipFill>
                    <a:blip r:embed="rId22"/>
                    <a:stretch>
                      <a:fillRect/>
                    </a:stretch>
                  </pic:blipFill>
                  <pic:spPr>
                    <a:xfrm>
                      <a:off x="0" y="0"/>
                      <a:ext cx="6130925" cy="2334895"/>
                    </a:xfrm>
                    <a:prstGeom prst="rect">
                      <a:avLst/>
                    </a:prstGeom>
                    <a:noFill/>
                    <a:ln>
                      <a:noFill/>
                    </a:ln>
                  </pic:spPr>
                </pic:pic>
              </a:graphicData>
            </a:graphic>
          </wp:inline>
        </w:drawing>
      </w:r>
      <w:r>
        <w:rPr>
          <w:rFonts w:hint="eastAsia"/>
        </w:rPr>
        <w:t xml:space="preserve"> </w:t>
      </w:r>
    </w:p>
    <w:p>
      <w:pPr>
        <w:spacing w:before="120" w:after="120"/>
        <w:jc w:val="center"/>
      </w:pPr>
      <w:r>
        <w:t>Figure 1</w:t>
      </w:r>
      <w:r>
        <w:rPr>
          <w:rFonts w:hint="eastAsia"/>
        </w:rPr>
        <w:t xml:space="preserve">1. </w:t>
      </w:r>
      <w:r>
        <w:t>P</w:t>
      </w:r>
      <w:r>
        <w:rPr>
          <w:rFonts w:hint="eastAsia"/>
        </w:rPr>
        <w:t>ower adaptation for worse channel condition</w:t>
      </w:r>
    </w:p>
    <w:p>
      <w:pPr>
        <w:spacing w:before="120" w:after="120"/>
      </w:pPr>
      <w:r>
        <w:rPr>
          <w:rFonts w:hint="eastAsia"/>
        </w:rPr>
        <w:t>Additionally, if the channel condition becomes better, e.g., the UE is moving towar</w:t>
      </w:r>
      <w:r>
        <w:t>ds</w:t>
      </w:r>
      <w:r>
        <w:rPr>
          <w:rFonts w:hint="eastAsia"/>
        </w:rPr>
        <w:t xml:space="preserve"> gNB, </w:t>
      </w:r>
      <w:r>
        <w:t xml:space="preserve">even the largest MCS is used for data transmission, </w:t>
      </w:r>
      <w:r>
        <w:rPr>
          <w:rFonts w:hint="eastAsia"/>
        </w:rPr>
        <w:t>the</w:t>
      </w:r>
      <w:r>
        <w:t xml:space="preserve"> allocated</w:t>
      </w:r>
      <w:r>
        <w:rPr>
          <w:rFonts w:hint="eastAsia"/>
        </w:rPr>
        <w:t xml:space="preserve"> power</w:t>
      </w:r>
      <w:r>
        <w:t xml:space="preserve"> may be still</w:t>
      </w:r>
      <w:r>
        <w:rPr>
          <w:rFonts w:hint="eastAsia"/>
        </w:rPr>
        <w:t xml:space="preserve"> redundant </w:t>
      </w:r>
      <w:r>
        <w:t>and</w:t>
      </w:r>
      <w:r>
        <w:rPr>
          <w:rFonts w:hint="eastAsia"/>
        </w:rPr>
        <w:t xml:space="preserve"> wasted</w:t>
      </w:r>
      <w:r>
        <w:t>.</w:t>
      </w:r>
      <w:r>
        <w:rPr>
          <w:rFonts w:hint="eastAsia"/>
        </w:rPr>
        <w:t xml:space="preserve"> </w:t>
      </w:r>
      <w:r>
        <w:t>In this case,</w:t>
      </w:r>
      <w:r>
        <w:rPr>
          <w:rFonts w:hint="eastAsia"/>
        </w:rPr>
        <w:t xml:space="preserve"> no obvious impacts on the </w:t>
      </w:r>
      <w:r>
        <w:t xml:space="preserve">system performance is observed </w:t>
      </w:r>
      <w:r>
        <w:rPr>
          <w:rFonts w:hint="eastAsia"/>
        </w:rPr>
        <w:t>if the transmit power is decreased</w:t>
      </w:r>
      <w:r>
        <w:t xml:space="preserve"> for network power saving.</w:t>
      </w:r>
    </w:p>
    <w:p>
      <w:pPr>
        <w:spacing w:before="120" w:after="120"/>
      </w:pPr>
      <w:r>
        <w:drawing>
          <wp:inline distT="0" distB="0" distL="114300" distR="114300">
            <wp:extent cx="6127750" cy="2044700"/>
            <wp:effectExtent l="0" t="0" r="13970" b="12700"/>
            <wp:docPr id="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
                    <pic:cNvPicPr>
                      <a:picLocks noChangeAspect="1"/>
                    </pic:cNvPicPr>
                  </pic:nvPicPr>
                  <pic:blipFill>
                    <a:blip r:embed="rId23"/>
                    <a:stretch>
                      <a:fillRect/>
                    </a:stretch>
                  </pic:blipFill>
                  <pic:spPr>
                    <a:xfrm>
                      <a:off x="0" y="0"/>
                      <a:ext cx="6127750" cy="2044700"/>
                    </a:xfrm>
                    <a:prstGeom prst="rect">
                      <a:avLst/>
                    </a:prstGeom>
                    <a:noFill/>
                    <a:ln>
                      <a:noFill/>
                    </a:ln>
                  </pic:spPr>
                </pic:pic>
              </a:graphicData>
            </a:graphic>
          </wp:inline>
        </w:drawing>
      </w:r>
    </w:p>
    <w:p>
      <w:pPr>
        <w:spacing w:before="120" w:after="120"/>
        <w:jc w:val="center"/>
        <w:rPr>
          <w:szCs w:val="21"/>
        </w:rPr>
      </w:pPr>
      <w:r>
        <w:rPr>
          <w:szCs w:val="21"/>
        </w:rPr>
        <w:t>Figure 1</w:t>
      </w:r>
      <w:r>
        <w:rPr>
          <w:rFonts w:hint="eastAsia"/>
          <w:szCs w:val="21"/>
        </w:rPr>
        <w:t xml:space="preserve">2. </w:t>
      </w:r>
      <w:r>
        <w:rPr>
          <w:szCs w:val="21"/>
        </w:rPr>
        <w:t>P</w:t>
      </w:r>
      <w:r>
        <w:rPr>
          <w:rFonts w:hint="eastAsia"/>
          <w:szCs w:val="21"/>
        </w:rPr>
        <w:t>ower adaptation for better channel condition</w:t>
      </w:r>
    </w:p>
    <w:p>
      <w:pPr>
        <w:spacing w:before="120" w:after="120"/>
        <w:rPr>
          <w:szCs w:val="21"/>
        </w:rPr>
      </w:pPr>
      <w:r>
        <w:rPr>
          <w:rFonts w:hint="eastAsia"/>
          <w:szCs w:val="21"/>
        </w:rPr>
        <w:t xml:space="preserve">Therefore, the dynamic power adjustment can adapt to different channel conditions and keep the </w:t>
      </w:r>
      <w:r>
        <w:rPr>
          <w:szCs w:val="21"/>
        </w:rPr>
        <w:t>performance impact</w:t>
      </w:r>
      <w:r>
        <w:rPr>
          <w:rFonts w:hint="eastAsia"/>
          <w:szCs w:val="21"/>
        </w:rPr>
        <w:t xml:space="preserve"> under control</w:t>
      </w:r>
      <w:r>
        <w:rPr>
          <w:szCs w:val="21"/>
        </w:rPr>
        <w:t>.</w:t>
      </w:r>
      <w:r>
        <w:rPr>
          <w:rFonts w:hint="eastAsia"/>
          <w:szCs w:val="21"/>
        </w:rPr>
        <w:t xml:space="preserve"> </w:t>
      </w:r>
      <w:r>
        <w:rPr>
          <w:szCs w:val="21"/>
        </w:rPr>
        <w:t>A</w:t>
      </w:r>
      <w:r>
        <w:rPr>
          <w:rFonts w:hint="eastAsia"/>
          <w:szCs w:val="21"/>
        </w:rPr>
        <w:t xml:space="preserve">nd </w:t>
      </w:r>
      <w:r>
        <w:rPr>
          <w:szCs w:val="21"/>
        </w:rPr>
        <w:t xml:space="preserve">it </w:t>
      </w:r>
      <w:r>
        <w:rPr>
          <w:rFonts w:hint="eastAsia"/>
          <w:szCs w:val="21"/>
        </w:rPr>
        <w:t xml:space="preserve">would also bring UE and gNB </w:t>
      </w:r>
      <w:r>
        <w:rPr>
          <w:szCs w:val="21"/>
        </w:rPr>
        <w:t xml:space="preserve">energy </w:t>
      </w:r>
      <w:r>
        <w:rPr>
          <w:rFonts w:hint="eastAsia"/>
          <w:szCs w:val="21"/>
        </w:rPr>
        <w:t>saving</w:t>
      </w:r>
      <w:r>
        <w:rPr>
          <w:szCs w:val="21"/>
        </w:rPr>
        <w:t xml:space="preserve"> gain</w:t>
      </w:r>
      <w:r>
        <w:rPr>
          <w:rFonts w:hint="eastAsia"/>
          <w:szCs w:val="21"/>
        </w:rPr>
        <w:t>.</w:t>
      </w:r>
    </w:p>
    <w:p>
      <w:pPr>
        <w:pStyle w:val="28"/>
        <w:tabs>
          <w:tab w:val="clear" w:pos="420"/>
          <w:tab w:val="clear" w:pos="4820"/>
        </w:tabs>
        <w:adjustRightInd w:val="0"/>
        <w:snapToGrid w:val="0"/>
        <w:spacing w:before="120" w:after="120"/>
        <w:ind w:left="0"/>
      </w:pPr>
      <w:bookmarkStart w:id="193" w:name="_Toc17671"/>
      <w:bookmarkStart w:id="194" w:name="_Toc4927"/>
      <w:bookmarkStart w:id="195" w:name="_Toc11890"/>
      <w:bookmarkStart w:id="196" w:name="_Toc21725"/>
      <w:bookmarkStart w:id="197" w:name="_Toc13391"/>
      <w:r>
        <w:t>Dynamic power adjustment can help UE and gNB power saving and keeps performance impact under control.</w:t>
      </w:r>
      <w:bookmarkEnd w:id="193"/>
      <w:bookmarkEnd w:id="194"/>
      <w:bookmarkEnd w:id="195"/>
      <w:bookmarkEnd w:id="196"/>
      <w:bookmarkEnd w:id="197"/>
    </w:p>
    <w:p>
      <w:pPr>
        <w:spacing w:before="120" w:after="120"/>
        <w:rPr>
          <w:szCs w:val="21"/>
        </w:rPr>
      </w:pPr>
      <w:r>
        <w:rPr>
          <w:rFonts w:hint="eastAsia"/>
          <w:szCs w:val="21"/>
        </w:rPr>
        <w:t xml:space="preserve">Based on the </w:t>
      </w:r>
      <w:r>
        <w:rPr>
          <w:szCs w:val="21"/>
        </w:rPr>
        <w:t>preliminary</w:t>
      </w:r>
      <w:r>
        <w:rPr>
          <w:rFonts w:hint="eastAsia"/>
          <w:szCs w:val="21"/>
        </w:rPr>
        <w:t xml:space="preserve"> simulation results</w:t>
      </w:r>
      <w:r>
        <w:rPr>
          <w:szCs w:val="21"/>
        </w:rPr>
        <w:t xml:space="preserve"> in Figure 1</w:t>
      </w:r>
      <w:r>
        <w:rPr>
          <w:rFonts w:hint="eastAsia"/>
          <w:szCs w:val="21"/>
        </w:rPr>
        <w:t xml:space="preserve">3, </w:t>
      </w:r>
      <w:r>
        <w:rPr>
          <w:rFonts w:hint="eastAsia"/>
          <w:szCs w:val="21"/>
          <w:lang w:bidi="ar"/>
        </w:rPr>
        <w:t>9.4</w:t>
      </w:r>
      <w:r>
        <w:rPr>
          <w:szCs w:val="21"/>
          <w:lang w:bidi="ar"/>
        </w:rPr>
        <w:t>%~</w:t>
      </w:r>
      <w:r>
        <w:rPr>
          <w:rFonts w:hint="eastAsia"/>
          <w:szCs w:val="21"/>
          <w:lang w:bidi="ar"/>
        </w:rPr>
        <w:t>21</w:t>
      </w:r>
      <w:r>
        <w:rPr>
          <w:szCs w:val="21"/>
          <w:lang w:bidi="ar"/>
        </w:rPr>
        <w:t>%</w:t>
      </w:r>
      <w:r>
        <w:rPr>
          <w:rFonts w:hint="eastAsia"/>
          <w:szCs w:val="21"/>
        </w:rPr>
        <w:t xml:space="preserve"> </w:t>
      </w:r>
      <w:r>
        <w:rPr>
          <w:szCs w:val="21"/>
        </w:rPr>
        <w:t>n</w:t>
      </w:r>
      <w:r>
        <w:rPr>
          <w:rFonts w:hint="eastAsia"/>
          <w:szCs w:val="21"/>
        </w:rPr>
        <w:t xml:space="preserve">etwork </w:t>
      </w:r>
      <w:r>
        <w:rPr>
          <w:szCs w:val="21"/>
        </w:rPr>
        <w:t xml:space="preserve">energy </w:t>
      </w:r>
      <w:r>
        <w:rPr>
          <w:rFonts w:hint="eastAsia"/>
          <w:szCs w:val="21"/>
        </w:rPr>
        <w:t xml:space="preserve">saving gain </w:t>
      </w:r>
      <w:r>
        <w:rPr>
          <w:szCs w:val="21"/>
        </w:rPr>
        <w:t>is</w:t>
      </w:r>
      <w:r>
        <w:rPr>
          <w:rFonts w:hint="eastAsia"/>
          <w:szCs w:val="21"/>
        </w:rPr>
        <w:t xml:space="preserve"> observed</w:t>
      </w:r>
      <w:r>
        <w:rPr>
          <w:szCs w:val="21"/>
        </w:rPr>
        <w:t xml:space="preserve"> in the case RU=10%~40% when NW transmission power is reduced by 3dB</w:t>
      </w:r>
      <w:r>
        <w:rPr>
          <w:rFonts w:hint="eastAsia"/>
          <w:szCs w:val="21"/>
        </w:rPr>
        <w:t>.</w:t>
      </w:r>
    </w:p>
    <w:p>
      <w:pPr>
        <w:spacing w:before="120" w:after="120"/>
        <w:jc w:val="center"/>
      </w:pPr>
      <w:r>
        <w:drawing>
          <wp:inline distT="0" distB="0" distL="114300" distR="114300">
            <wp:extent cx="3592830" cy="2144395"/>
            <wp:effectExtent l="4445" t="4445" r="22225" b="22860"/>
            <wp:docPr id="2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spacing w:before="120" w:after="120"/>
        <w:jc w:val="center"/>
      </w:pPr>
      <w:r>
        <w:rPr>
          <w:rFonts w:hint="eastAsia"/>
        </w:rPr>
        <w:t xml:space="preserve">Figure </w:t>
      </w:r>
      <w:r>
        <w:t>1</w:t>
      </w:r>
      <w:r>
        <w:rPr>
          <w:rFonts w:hint="eastAsia"/>
        </w:rPr>
        <w:t xml:space="preserve">3 Energy saving gain </w:t>
      </w:r>
      <w:r>
        <w:t>from</w:t>
      </w:r>
      <w:r>
        <w:rPr>
          <w:rFonts w:hint="eastAsia"/>
        </w:rPr>
        <w:t xml:space="preserve"> power reduction</w:t>
      </w:r>
    </w:p>
    <w:p>
      <w:pPr>
        <w:pStyle w:val="28"/>
        <w:numPr>
          <w:ilvl w:val="0"/>
          <w:numId w:val="0"/>
        </w:numPr>
        <w:tabs>
          <w:tab w:val="clear" w:pos="420"/>
        </w:tabs>
        <w:adjustRightInd w:val="0"/>
        <w:snapToGrid w:val="0"/>
        <w:spacing w:before="120" w:after="120"/>
      </w:pPr>
    </w:p>
    <w:p>
      <w:pPr>
        <w:pStyle w:val="28"/>
        <w:tabs>
          <w:tab w:val="clear" w:pos="420"/>
          <w:tab w:val="clear" w:pos="4820"/>
        </w:tabs>
        <w:adjustRightInd w:val="0"/>
        <w:snapToGrid w:val="0"/>
        <w:spacing w:before="120" w:after="120"/>
        <w:ind w:left="0"/>
      </w:pPr>
      <w:bookmarkStart w:id="198" w:name="_Toc25180"/>
      <w:bookmarkStart w:id="199" w:name="_Toc11192"/>
      <w:bookmarkStart w:id="200" w:name="_Toc6072"/>
      <w:bookmarkStart w:id="201" w:name="_Toc30487"/>
      <w:r>
        <w:t>9.4%~21% network energy saving gain is observed in the case RU=10%~40% when NW transmission power is reduced by 3dB.</w:t>
      </w:r>
      <w:bookmarkEnd w:id="198"/>
      <w:bookmarkEnd w:id="199"/>
      <w:bookmarkEnd w:id="200"/>
      <w:bookmarkEnd w:id="201"/>
    </w:p>
    <w:p>
      <w:pPr>
        <w:spacing w:before="120" w:after="120"/>
        <w:rPr>
          <w:szCs w:val="21"/>
        </w:rPr>
      </w:pPr>
      <w:r>
        <w:rPr>
          <w:rFonts w:hint="eastAsia"/>
          <w:szCs w:val="21"/>
        </w:rPr>
        <w:t>To achieve d</w:t>
      </w:r>
      <w:r>
        <w:rPr>
          <w:rFonts w:hint="eastAsia"/>
          <w:szCs w:val="21"/>
          <w:lang w:bidi="ar"/>
        </w:rPr>
        <w:t>ynamic power adjustment, power related information, similar as CQI, can be reported to gNB</w:t>
      </w:r>
      <w:r>
        <w:rPr>
          <w:szCs w:val="21"/>
          <w:lang w:bidi="ar"/>
        </w:rPr>
        <w:t>.</w:t>
      </w:r>
      <w:r>
        <w:rPr>
          <w:rFonts w:hint="eastAsia"/>
          <w:szCs w:val="21"/>
          <w:lang w:bidi="ar"/>
        </w:rPr>
        <w:t xml:space="preserve"> </w:t>
      </w:r>
      <w:r>
        <w:rPr>
          <w:szCs w:val="21"/>
          <w:lang w:bidi="ar"/>
        </w:rPr>
        <w:t>T</w:t>
      </w:r>
      <w:r>
        <w:rPr>
          <w:rFonts w:hint="eastAsia"/>
          <w:szCs w:val="21"/>
          <w:lang w:bidi="ar"/>
        </w:rPr>
        <w:t>hen gNB can accurately sense the required power</w:t>
      </w:r>
      <w:r>
        <w:rPr>
          <w:szCs w:val="21"/>
          <w:lang w:bidi="ar"/>
        </w:rPr>
        <w:t xml:space="preserve"> parameters</w:t>
      </w:r>
      <w:r>
        <w:rPr>
          <w:rFonts w:hint="eastAsia"/>
          <w:szCs w:val="21"/>
          <w:lang w:bidi="ar"/>
        </w:rPr>
        <w:t xml:space="preserve"> based on the report</w:t>
      </w:r>
      <w:r>
        <w:rPr>
          <w:szCs w:val="21"/>
          <w:lang w:bidi="ar"/>
        </w:rPr>
        <w:t>ed</w:t>
      </w:r>
      <w:r>
        <w:rPr>
          <w:rFonts w:hint="eastAsia"/>
          <w:szCs w:val="21"/>
          <w:lang w:bidi="ar"/>
        </w:rPr>
        <w:t xml:space="preserve"> information.</w:t>
      </w:r>
    </w:p>
    <w:p>
      <w:pPr>
        <w:pStyle w:val="29"/>
        <w:spacing w:before="120" w:after="120"/>
        <w:rPr>
          <w:lang w:val="en-US" w:eastAsia="zh-CN"/>
        </w:rPr>
      </w:pPr>
      <w:bookmarkStart w:id="202" w:name="_Toc30349"/>
      <w:bookmarkStart w:id="203" w:name="_Toc26905"/>
      <w:bookmarkStart w:id="204" w:name="_Toc20809"/>
      <w:bookmarkStart w:id="205" w:name="_Toc22115"/>
      <w:bookmarkStart w:id="206" w:name="_Toc27265"/>
      <w:r>
        <w:rPr>
          <w:lang w:val="en-US" w:eastAsia="zh-CN"/>
        </w:rPr>
        <w:t xml:space="preserve">More dynamic DL power allocation </w:t>
      </w:r>
      <w:r>
        <w:rPr>
          <w:lang w:val="en-US" w:eastAsia="zh-CN" w:bidi="ar"/>
        </w:rPr>
        <w:t xml:space="preserve">and information reported by UE </w:t>
      </w:r>
      <w:r>
        <w:rPr>
          <w:lang w:val="en-US" w:eastAsia="zh-CN"/>
        </w:rPr>
        <w:t>can be considered for NW ES in power domain.</w:t>
      </w:r>
      <w:bookmarkEnd w:id="202"/>
      <w:bookmarkEnd w:id="203"/>
      <w:bookmarkEnd w:id="204"/>
      <w:bookmarkEnd w:id="205"/>
      <w:bookmarkEnd w:id="206"/>
    </w:p>
    <w:p>
      <w:pPr>
        <w:spacing w:before="120" w:after="120"/>
        <w:rPr>
          <w:szCs w:val="21"/>
          <w:lang w:bidi="ar"/>
        </w:rPr>
      </w:pPr>
      <w:r>
        <w:rPr>
          <w:rFonts w:hint="eastAsia"/>
          <w:szCs w:val="21"/>
          <w:lang w:bidi="ar"/>
        </w:rPr>
        <w:t xml:space="preserve">For the periodic CSI-RS, the parameter </w:t>
      </w:r>
      <w:r>
        <w:rPr>
          <w:rFonts w:hint="eastAsia"/>
          <w:i/>
          <w:iCs/>
          <w:szCs w:val="21"/>
          <w:lang w:bidi="ar"/>
        </w:rPr>
        <w:t xml:space="preserve">powerControlOffsetSS </w:t>
      </w:r>
      <w:r>
        <w:rPr>
          <w:rFonts w:hint="eastAsia"/>
          <w:szCs w:val="21"/>
          <w:lang w:bidi="ar"/>
        </w:rPr>
        <w:t>is the assumed ratio of NZP CSI-RS EPRE to SS/PBCH block EPRE</w:t>
      </w:r>
      <w:r>
        <w:rPr>
          <w:szCs w:val="21"/>
          <w:lang w:bidi="ar"/>
        </w:rPr>
        <w:t>, which</w:t>
      </w:r>
      <w:r>
        <w:rPr>
          <w:rFonts w:hint="eastAsia"/>
          <w:szCs w:val="21"/>
          <w:lang w:bidi="ar"/>
        </w:rPr>
        <w:t xml:space="preserve"> is configured via RRC signaling. When the PSD is dynamically adapted, a dynamic power allocation for CSI-RS </w:t>
      </w:r>
      <w:r>
        <w:rPr>
          <w:szCs w:val="21"/>
          <w:lang w:bidi="ar"/>
        </w:rPr>
        <w:t>is</w:t>
      </w:r>
      <w:r>
        <w:rPr>
          <w:rFonts w:hint="eastAsia"/>
          <w:szCs w:val="21"/>
          <w:lang w:bidi="ar"/>
        </w:rPr>
        <w:t xml:space="preserve"> more beneficial for the network power saving.</w:t>
      </w:r>
    </w:p>
    <w:p>
      <w:pPr>
        <w:pStyle w:val="29"/>
        <w:spacing w:before="120" w:after="120"/>
        <w:rPr>
          <w:lang w:bidi="ar"/>
        </w:rPr>
      </w:pPr>
      <w:bookmarkStart w:id="207" w:name="_Toc2959"/>
      <w:bookmarkStart w:id="208" w:name="_Toc1679"/>
      <w:bookmarkStart w:id="209" w:name="_Toc1603"/>
      <w:bookmarkStart w:id="210" w:name="_Toc27546"/>
      <w:bookmarkStart w:id="211" w:name="_Toc15898"/>
      <w:r>
        <w:rPr>
          <w:rFonts w:hint="eastAsia"/>
          <w:lang w:val="en-US" w:eastAsia="zh-CN"/>
        </w:rPr>
        <w:t>D</w:t>
      </w:r>
      <w:r>
        <w:rPr>
          <w:lang w:val="en-US" w:eastAsia="zh-CN"/>
        </w:rPr>
        <w:t xml:space="preserve">ynamic DL power </w:t>
      </w:r>
      <w:r>
        <w:rPr>
          <w:lang w:val="en-US" w:eastAsia="zh-CN" w:bidi="ar"/>
        </w:rPr>
        <w:t xml:space="preserve">control for reference signal can </w:t>
      </w:r>
      <w:r>
        <w:rPr>
          <w:lang w:val="en-US" w:eastAsia="zh-CN"/>
        </w:rPr>
        <w:t>be considered for NW ES in power domain.</w:t>
      </w:r>
      <w:bookmarkEnd w:id="207"/>
      <w:bookmarkEnd w:id="208"/>
      <w:bookmarkEnd w:id="209"/>
      <w:bookmarkEnd w:id="210"/>
      <w:bookmarkEnd w:id="211"/>
    </w:p>
    <w:p>
      <w:pPr>
        <w:pStyle w:val="28"/>
        <w:numPr>
          <w:ilvl w:val="0"/>
          <w:numId w:val="0"/>
        </w:numPr>
        <w:tabs>
          <w:tab w:val="clear" w:pos="420"/>
          <w:tab w:val="clear" w:pos="4820"/>
        </w:tabs>
        <w:adjustRightInd w:val="0"/>
        <w:snapToGrid w:val="0"/>
        <w:spacing w:before="120" w:after="120"/>
        <w:rPr>
          <w:lang w:val="en-US" w:eastAsia="zh-CN" w:bidi="ar"/>
        </w:rPr>
      </w:pPr>
    </w:p>
    <w:p>
      <w:pPr>
        <w:spacing w:before="120" w:after="120"/>
      </w:pPr>
      <w:r>
        <w:rPr>
          <w:rFonts w:hint="eastAsia"/>
        </w:rPr>
        <w:t xml:space="preserve">Based on the above analysis, dynamic DL power control would be beneficial to the NW ES. Further, the expected specification impacts for TR report also need to be discussed. For example, the following aspects may need to be </w:t>
      </w:r>
      <w:r>
        <w:t>considered</w:t>
      </w:r>
      <w:r>
        <w:rPr>
          <w:rFonts w:hint="eastAsia"/>
        </w:rPr>
        <w:t>.</w:t>
      </w:r>
    </w:p>
    <w:p>
      <w:pPr>
        <w:numPr>
          <w:ilvl w:val="0"/>
          <w:numId w:val="14"/>
        </w:numPr>
        <w:spacing w:before="120" w:after="120"/>
      </w:pPr>
      <w:r>
        <w:rPr>
          <w:rFonts w:hint="eastAsia"/>
        </w:rPr>
        <w:t>Co-existence issue</w:t>
      </w:r>
      <w:r>
        <w:t>.</w:t>
      </w:r>
      <w:r>
        <w:rPr>
          <w:rFonts w:hint="eastAsia"/>
        </w:rPr>
        <w:t xml:space="preserve"> </w:t>
      </w:r>
      <w:r>
        <w:t>I</w:t>
      </w:r>
      <w:r>
        <w:rPr>
          <w:rFonts w:hint="eastAsia"/>
        </w:rPr>
        <w:t xml:space="preserve">f the </w:t>
      </w:r>
      <w:r>
        <w:t xml:space="preserve">transmission </w:t>
      </w:r>
      <w:r>
        <w:rPr>
          <w:rFonts w:hint="eastAsia"/>
        </w:rPr>
        <w:t xml:space="preserve">power or PSD of common signal is reduced, it may </w:t>
      </w:r>
      <w:r>
        <w:t xml:space="preserve">impact the measurement of </w:t>
      </w:r>
      <w:r>
        <w:rPr>
          <w:rFonts w:hint="eastAsia"/>
        </w:rPr>
        <w:t>legacy UE. Therefore, co-existence issue or NBC issue may need to</w:t>
      </w:r>
      <w:r>
        <w:t xml:space="preserve"> be</w:t>
      </w:r>
      <w:r>
        <w:rPr>
          <w:rFonts w:hint="eastAsia"/>
        </w:rPr>
        <w:t xml:space="preserve"> considered.</w:t>
      </w:r>
    </w:p>
    <w:p>
      <w:pPr>
        <w:numPr>
          <w:ilvl w:val="0"/>
          <w:numId w:val="14"/>
        </w:numPr>
        <w:spacing w:before="120" w:after="120"/>
      </w:pPr>
      <w:r>
        <w:t>D</w:t>
      </w:r>
      <w:r>
        <w:rPr>
          <w:rFonts w:hint="eastAsia"/>
        </w:rPr>
        <w:t>ynamically indicat</w:t>
      </w:r>
      <w:r>
        <w:t>ion of</w:t>
      </w:r>
      <w:r>
        <w:rPr>
          <w:rFonts w:hint="eastAsia"/>
        </w:rPr>
        <w:t xml:space="preserve"> the variable </w:t>
      </w:r>
      <w:r>
        <w:t xml:space="preserve">transmission </w:t>
      </w:r>
      <w:r>
        <w:rPr>
          <w:rFonts w:hint="eastAsia"/>
        </w:rPr>
        <w:t xml:space="preserve">power of a </w:t>
      </w:r>
      <w:r>
        <w:t xml:space="preserve">reference </w:t>
      </w:r>
      <w:r>
        <w:rPr>
          <w:rFonts w:hint="eastAsia"/>
        </w:rPr>
        <w:t xml:space="preserve">signal. For example, </w:t>
      </w:r>
      <w:r>
        <w:t xml:space="preserve">the indication via </w:t>
      </w:r>
      <w:r>
        <w:rPr>
          <w:rFonts w:hint="eastAsia"/>
        </w:rPr>
        <w:t>DCI, MAC CE or other dynamic ways</w:t>
      </w:r>
      <w:r>
        <w:t xml:space="preserve"> can be considered</w:t>
      </w:r>
      <w:r>
        <w:rPr>
          <w:rFonts w:hint="eastAsia"/>
        </w:rPr>
        <w:t xml:space="preserve">. </w:t>
      </w:r>
    </w:p>
    <w:p>
      <w:pPr>
        <w:numPr>
          <w:ilvl w:val="0"/>
          <w:numId w:val="14"/>
        </w:numPr>
        <w:spacing w:before="120" w:after="120"/>
      </w:pPr>
      <w:r>
        <w:rPr>
          <w:rFonts w:hint="eastAsia"/>
        </w:rPr>
        <w:t xml:space="preserve">If the closed-loop power control for the downlink is needed, </w:t>
      </w:r>
      <w:r>
        <w:t>UE feedback information, e.g, CSI reporting, power adjustment indication</w:t>
      </w:r>
      <w:r>
        <w:rPr>
          <w:rFonts w:hint="eastAsia"/>
        </w:rPr>
        <w:t xml:space="preserve"> also need</w:t>
      </w:r>
      <w:r>
        <w:t>s</w:t>
      </w:r>
      <w:r>
        <w:rPr>
          <w:rFonts w:hint="eastAsia"/>
        </w:rPr>
        <w:t xml:space="preserve"> to be discussed.</w:t>
      </w:r>
    </w:p>
    <w:p>
      <w:pPr>
        <w:spacing w:before="120" w:after="120"/>
      </w:pPr>
      <w:r>
        <w:t xml:space="preserve">In conclusion, </w:t>
      </w:r>
      <w:r>
        <w:rPr>
          <w:rFonts w:hint="eastAsia"/>
        </w:rPr>
        <w:t xml:space="preserve">we </w:t>
      </w:r>
      <w:r>
        <w:t>have</w:t>
      </w:r>
      <w:r>
        <w:rPr>
          <w:rFonts w:hint="eastAsia"/>
        </w:rPr>
        <w:t xml:space="preserve"> the following </w:t>
      </w:r>
      <w:r>
        <w:t>proposals</w:t>
      </w:r>
      <w:r>
        <w:rPr>
          <w:rFonts w:hint="eastAsia"/>
        </w:rPr>
        <w:t>.</w:t>
      </w:r>
    </w:p>
    <w:p>
      <w:pPr>
        <w:pStyle w:val="29"/>
        <w:spacing w:before="120" w:after="120"/>
        <w:rPr>
          <w:lang w:val="en-US" w:eastAsia="zh-CN"/>
        </w:rPr>
      </w:pPr>
      <w:bookmarkStart w:id="212" w:name="_Toc4399"/>
      <w:bookmarkStart w:id="213" w:name="_Toc6898"/>
      <w:bookmarkStart w:id="214" w:name="_Toc6268"/>
      <w:bookmarkStart w:id="215" w:name="_Toc2120"/>
      <w:bookmarkStart w:id="216" w:name="_Toc15165"/>
      <w:r>
        <w:rPr>
          <w:rFonts w:hint="eastAsia"/>
          <w:lang w:val="en-US" w:eastAsia="zh-CN"/>
        </w:rPr>
        <w:t xml:space="preserve">The following aspects for power domain </w:t>
      </w:r>
      <w:r>
        <w:rPr>
          <w:lang w:val="en-US" w:eastAsia="zh-CN"/>
        </w:rPr>
        <w:t xml:space="preserve">adaptation </w:t>
      </w:r>
      <w:r>
        <w:rPr>
          <w:rFonts w:hint="eastAsia"/>
          <w:lang w:val="en-US" w:eastAsia="zh-CN"/>
        </w:rPr>
        <w:t>techniques should be captured in the TR</w:t>
      </w:r>
      <w:bookmarkEnd w:id="212"/>
      <w:bookmarkEnd w:id="213"/>
      <w:bookmarkEnd w:id="214"/>
      <w:bookmarkEnd w:id="215"/>
      <w:bookmarkEnd w:id="216"/>
    </w:p>
    <w:p>
      <w:pPr>
        <w:pStyle w:val="29"/>
        <w:numPr>
          <w:ilvl w:val="0"/>
          <w:numId w:val="15"/>
        </w:numPr>
        <w:tabs>
          <w:tab w:val="clear" w:pos="-420"/>
        </w:tabs>
        <w:spacing w:before="120" w:after="120"/>
        <w:ind w:left="-420" w:firstLine="420"/>
        <w:rPr>
          <w:lang w:val="en-US" w:eastAsia="zh-CN"/>
        </w:rPr>
      </w:pPr>
      <w:bookmarkStart w:id="217" w:name="_Toc433"/>
      <w:bookmarkStart w:id="218" w:name="_Toc8006"/>
      <w:bookmarkStart w:id="219" w:name="_Toc819"/>
      <w:bookmarkStart w:id="220" w:name="_Toc12737"/>
      <w:bookmarkStart w:id="221" w:name="_Toc26370"/>
      <w:r>
        <w:rPr>
          <w:lang w:val="en-US" w:eastAsia="zh-CN"/>
        </w:rPr>
        <w:t>F</w:t>
      </w:r>
      <w:r>
        <w:rPr>
          <w:rFonts w:hint="eastAsia"/>
          <w:lang w:val="en-US" w:eastAsia="zh-CN"/>
        </w:rPr>
        <w:t xml:space="preserve">eature description for adaptation of transmission power of </w:t>
      </w:r>
      <w:r>
        <w:rPr>
          <w:lang w:val="en-US" w:eastAsia="zh-CN"/>
        </w:rPr>
        <w:t xml:space="preserve">reference </w:t>
      </w:r>
      <w:r>
        <w:rPr>
          <w:rFonts w:hint="eastAsia"/>
          <w:lang w:val="en-US" w:eastAsia="zh-CN"/>
        </w:rPr>
        <w:t>signal</w:t>
      </w:r>
      <w:r>
        <w:rPr>
          <w:lang w:val="en-US" w:eastAsia="zh-CN"/>
        </w:rPr>
        <w:t>s/</w:t>
      </w:r>
      <w:r>
        <w:rPr>
          <w:rFonts w:hint="eastAsia"/>
          <w:lang w:val="en-US" w:eastAsia="zh-CN"/>
        </w:rPr>
        <w:t>channels</w:t>
      </w:r>
      <w:bookmarkEnd w:id="217"/>
      <w:bookmarkEnd w:id="218"/>
      <w:bookmarkEnd w:id="219"/>
      <w:bookmarkEnd w:id="220"/>
      <w:bookmarkEnd w:id="221"/>
    </w:p>
    <w:p>
      <w:pPr>
        <w:pStyle w:val="29"/>
        <w:numPr>
          <w:ilvl w:val="0"/>
          <w:numId w:val="16"/>
        </w:numPr>
        <w:tabs>
          <w:tab w:val="clear" w:pos="420"/>
        </w:tabs>
        <w:spacing w:before="120" w:after="120"/>
        <w:rPr>
          <w:lang w:val="en-US" w:eastAsia="zh-CN"/>
        </w:rPr>
      </w:pPr>
      <w:bookmarkStart w:id="222" w:name="_Toc32065"/>
      <w:bookmarkStart w:id="223" w:name="_Toc841"/>
      <w:bookmarkStart w:id="224" w:name="_Toc3634"/>
      <w:bookmarkStart w:id="225" w:name="_Toc6749"/>
      <w:bookmarkStart w:id="226" w:name="_Toc7754"/>
      <w:r>
        <w:rPr>
          <w:lang w:val="en-US" w:eastAsia="zh-CN"/>
        </w:rPr>
        <w:t>D</w:t>
      </w:r>
      <w:r>
        <w:rPr>
          <w:rFonts w:hint="eastAsia"/>
          <w:lang w:val="en-US" w:eastAsia="zh-CN"/>
        </w:rPr>
        <w:t>ynamic power control, e.g., dynamically reducing the transmission power or PSD of signals and channels, e.g</w:t>
      </w:r>
      <w:r>
        <w:rPr>
          <w:lang w:val="en-US" w:eastAsia="zh-CN"/>
        </w:rPr>
        <w:t>.</w:t>
      </w:r>
      <w:r>
        <w:rPr>
          <w:rFonts w:hint="eastAsia"/>
          <w:lang w:val="en-US" w:eastAsia="zh-CN"/>
        </w:rPr>
        <w:t xml:space="preserve"> SSB, CSI-RS, PDSCH</w:t>
      </w:r>
      <w:bookmarkEnd w:id="222"/>
      <w:bookmarkEnd w:id="223"/>
      <w:bookmarkEnd w:id="224"/>
      <w:bookmarkEnd w:id="225"/>
      <w:bookmarkEnd w:id="226"/>
    </w:p>
    <w:p>
      <w:pPr>
        <w:pStyle w:val="29"/>
        <w:numPr>
          <w:ilvl w:val="0"/>
          <w:numId w:val="16"/>
        </w:numPr>
        <w:tabs>
          <w:tab w:val="clear" w:pos="420"/>
        </w:tabs>
        <w:spacing w:before="120" w:after="120"/>
        <w:rPr>
          <w:lang w:val="en-US" w:eastAsia="zh-CN"/>
        </w:rPr>
      </w:pPr>
      <w:bookmarkStart w:id="227" w:name="_Toc14685"/>
      <w:bookmarkStart w:id="228" w:name="_Toc7495"/>
      <w:bookmarkStart w:id="229" w:name="_Toc31291"/>
      <w:bookmarkStart w:id="230" w:name="_Toc23323"/>
      <w:bookmarkStart w:id="231" w:name="_Toc2164"/>
      <w:r>
        <w:rPr>
          <w:rFonts w:hint="eastAsia"/>
          <w:lang w:val="en-US" w:eastAsia="zh-CN"/>
        </w:rPr>
        <w:t>UE feedback/report power information, e.g</w:t>
      </w:r>
      <w:r>
        <w:rPr>
          <w:lang w:val="en-US" w:eastAsia="zh-CN"/>
        </w:rPr>
        <w:t>.</w:t>
      </w:r>
      <w:r>
        <w:rPr>
          <w:rFonts w:hint="eastAsia"/>
          <w:lang w:val="en-US" w:eastAsia="zh-CN"/>
        </w:rPr>
        <w:t>, CSI reporting, power adjustment indication, etc.</w:t>
      </w:r>
      <w:bookmarkEnd w:id="227"/>
      <w:bookmarkEnd w:id="228"/>
      <w:bookmarkEnd w:id="229"/>
      <w:bookmarkEnd w:id="230"/>
      <w:bookmarkEnd w:id="231"/>
    </w:p>
    <w:p>
      <w:pPr>
        <w:pStyle w:val="29"/>
        <w:numPr>
          <w:ilvl w:val="0"/>
          <w:numId w:val="15"/>
        </w:numPr>
        <w:tabs>
          <w:tab w:val="clear" w:pos="-420"/>
        </w:tabs>
        <w:spacing w:before="120" w:after="120"/>
        <w:ind w:left="-420" w:firstLine="420"/>
        <w:rPr>
          <w:lang w:val="en-US" w:eastAsia="zh-CN"/>
        </w:rPr>
      </w:pPr>
      <w:bookmarkStart w:id="232" w:name="_Toc17818"/>
      <w:bookmarkStart w:id="233" w:name="_Toc15048"/>
      <w:bookmarkStart w:id="234" w:name="_Toc28696"/>
      <w:bookmarkStart w:id="235" w:name="_Toc12215"/>
      <w:bookmarkStart w:id="236" w:name="_Toc21242"/>
      <w:r>
        <w:rPr>
          <w:lang w:val="en-US" w:eastAsia="zh-CN"/>
        </w:rPr>
        <w:t>P</w:t>
      </w:r>
      <w:r>
        <w:rPr>
          <w:rFonts w:hint="eastAsia"/>
          <w:lang w:val="en-US" w:eastAsia="zh-CN"/>
        </w:rPr>
        <w:t>erformance impacts:</w:t>
      </w:r>
      <w:bookmarkEnd w:id="232"/>
      <w:bookmarkEnd w:id="233"/>
      <w:bookmarkEnd w:id="234"/>
      <w:bookmarkEnd w:id="235"/>
      <w:bookmarkEnd w:id="236"/>
    </w:p>
    <w:p>
      <w:pPr>
        <w:pStyle w:val="29"/>
        <w:numPr>
          <w:ilvl w:val="0"/>
          <w:numId w:val="16"/>
        </w:numPr>
        <w:tabs>
          <w:tab w:val="clear" w:pos="420"/>
        </w:tabs>
        <w:spacing w:before="120" w:after="120"/>
        <w:rPr>
          <w:lang w:val="en-US" w:eastAsia="zh-CN"/>
        </w:rPr>
      </w:pPr>
      <w:bookmarkStart w:id="237" w:name="_Toc2458"/>
      <w:bookmarkStart w:id="238" w:name="_Toc9140"/>
      <w:bookmarkStart w:id="239" w:name="_Toc32580"/>
      <w:bookmarkStart w:id="240" w:name="_Toc20327"/>
      <w:bookmarkStart w:id="241" w:name="_Toc26583"/>
      <w:r>
        <w:t xml:space="preserve">Energy </w:t>
      </w:r>
      <w:r>
        <w:rPr>
          <w:rFonts w:hint="eastAsia"/>
          <w:lang w:val="en-US" w:eastAsia="zh-CN"/>
        </w:rPr>
        <w:t>saving gains, UPT loss, and other evaluation metrics by adaptation of transmission power</w:t>
      </w:r>
      <w:bookmarkEnd w:id="237"/>
      <w:bookmarkEnd w:id="238"/>
      <w:bookmarkEnd w:id="239"/>
      <w:bookmarkEnd w:id="240"/>
      <w:bookmarkEnd w:id="241"/>
      <w:r>
        <w:rPr>
          <w:rFonts w:hint="eastAsia"/>
          <w:lang w:val="en-US" w:eastAsia="zh-CN"/>
        </w:rPr>
        <w:t xml:space="preserve"> </w:t>
      </w:r>
    </w:p>
    <w:p>
      <w:pPr>
        <w:pStyle w:val="29"/>
        <w:numPr>
          <w:ilvl w:val="0"/>
          <w:numId w:val="15"/>
        </w:numPr>
        <w:tabs>
          <w:tab w:val="clear" w:pos="-420"/>
        </w:tabs>
        <w:spacing w:before="120" w:after="120"/>
        <w:ind w:left="-420" w:firstLine="420"/>
        <w:rPr>
          <w:lang w:val="en-US" w:eastAsia="zh-CN"/>
        </w:rPr>
      </w:pPr>
      <w:bookmarkStart w:id="242" w:name="_Toc28939"/>
      <w:bookmarkStart w:id="243" w:name="_Toc7091"/>
      <w:bookmarkStart w:id="244" w:name="_Toc21913"/>
      <w:bookmarkStart w:id="245" w:name="_Toc30360"/>
      <w:bookmarkStart w:id="246" w:name="_Toc14105"/>
      <w:r>
        <w:rPr>
          <w:lang w:val="en-US" w:eastAsia="zh-CN"/>
        </w:rPr>
        <w:t>S</w:t>
      </w:r>
      <w:r>
        <w:rPr>
          <w:rFonts w:hint="eastAsia"/>
          <w:lang w:val="en-US" w:eastAsia="zh-CN"/>
        </w:rPr>
        <w:t>pecification impacts:</w:t>
      </w:r>
      <w:bookmarkEnd w:id="242"/>
      <w:bookmarkEnd w:id="243"/>
      <w:bookmarkEnd w:id="244"/>
      <w:bookmarkEnd w:id="245"/>
      <w:bookmarkEnd w:id="246"/>
    </w:p>
    <w:p>
      <w:pPr>
        <w:pStyle w:val="29"/>
        <w:numPr>
          <w:ilvl w:val="0"/>
          <w:numId w:val="16"/>
        </w:numPr>
        <w:tabs>
          <w:tab w:val="clear" w:pos="420"/>
        </w:tabs>
        <w:spacing w:before="120" w:after="120"/>
        <w:rPr>
          <w:lang w:val="en-US" w:eastAsia="zh-CN"/>
        </w:rPr>
      </w:pPr>
      <w:bookmarkStart w:id="247" w:name="_Toc8732"/>
      <w:bookmarkStart w:id="248" w:name="_Toc9330"/>
      <w:bookmarkStart w:id="249" w:name="_Toc1199"/>
      <w:bookmarkStart w:id="250" w:name="_Toc8542"/>
      <w:bookmarkStart w:id="251" w:name="_Toc22085"/>
      <w:r>
        <w:rPr>
          <w:lang w:val="en-US" w:eastAsia="zh-CN"/>
        </w:rPr>
        <w:t>I</w:t>
      </w:r>
      <w:r>
        <w:rPr>
          <w:rFonts w:hint="eastAsia"/>
          <w:lang w:val="en-US" w:eastAsia="zh-CN"/>
        </w:rPr>
        <w:t xml:space="preserve">ndication </w:t>
      </w:r>
      <w:r>
        <w:rPr>
          <w:lang w:val="en-US" w:eastAsia="zh-CN"/>
        </w:rPr>
        <w:t xml:space="preserve">of </w:t>
      </w:r>
      <w:r>
        <w:rPr>
          <w:rFonts w:hint="eastAsia"/>
          <w:lang w:val="en-US" w:eastAsia="zh-CN"/>
        </w:rPr>
        <w:t xml:space="preserve">power adaptation, e.g., </w:t>
      </w:r>
      <w:bookmarkEnd w:id="247"/>
      <w:r>
        <w:rPr>
          <w:lang w:val="en-US" w:eastAsia="zh-CN"/>
        </w:rPr>
        <w:t>via DCI or MAC CE</w:t>
      </w:r>
      <w:bookmarkEnd w:id="248"/>
      <w:bookmarkEnd w:id="249"/>
      <w:bookmarkEnd w:id="250"/>
      <w:bookmarkEnd w:id="251"/>
    </w:p>
    <w:p>
      <w:pPr>
        <w:pStyle w:val="29"/>
        <w:numPr>
          <w:ilvl w:val="0"/>
          <w:numId w:val="16"/>
        </w:numPr>
        <w:tabs>
          <w:tab w:val="clear" w:pos="420"/>
        </w:tabs>
        <w:spacing w:before="120" w:after="120"/>
        <w:rPr>
          <w:lang w:val="en-US" w:eastAsia="zh-CN"/>
        </w:rPr>
      </w:pPr>
      <w:bookmarkStart w:id="252" w:name="_Toc19108"/>
      <w:bookmarkStart w:id="253" w:name="_Toc28264"/>
      <w:bookmarkStart w:id="254" w:name="_Toc5077"/>
      <w:bookmarkStart w:id="255" w:name="_Toc18650"/>
      <w:bookmarkStart w:id="256" w:name="_Toc6207"/>
      <w:r>
        <w:rPr>
          <w:rFonts w:hint="eastAsia"/>
          <w:lang w:val="en-US" w:eastAsia="zh-CN"/>
        </w:rPr>
        <w:t>UE feedback information, e.g</w:t>
      </w:r>
      <w:r>
        <w:rPr>
          <w:lang w:val="en-US" w:eastAsia="zh-CN"/>
        </w:rPr>
        <w:t>.</w:t>
      </w:r>
      <w:r>
        <w:rPr>
          <w:rFonts w:hint="eastAsia"/>
          <w:lang w:val="en-US" w:eastAsia="zh-CN"/>
        </w:rPr>
        <w:t>, CSI reporting, power adjustment indication</w:t>
      </w:r>
      <w:bookmarkEnd w:id="252"/>
      <w:bookmarkEnd w:id="253"/>
      <w:bookmarkEnd w:id="254"/>
      <w:bookmarkEnd w:id="255"/>
      <w:bookmarkEnd w:id="256"/>
    </w:p>
    <w:p>
      <w:pPr>
        <w:pStyle w:val="29"/>
        <w:numPr>
          <w:ilvl w:val="0"/>
          <w:numId w:val="16"/>
        </w:numPr>
        <w:tabs>
          <w:tab w:val="clear" w:pos="420"/>
        </w:tabs>
        <w:spacing w:before="120" w:after="120"/>
        <w:rPr>
          <w:lang w:val="en-US" w:eastAsia="zh-CN"/>
        </w:rPr>
      </w:pPr>
      <w:bookmarkStart w:id="257" w:name="_Toc4353"/>
      <w:bookmarkStart w:id="258" w:name="_Toc12025"/>
      <w:bookmarkStart w:id="259" w:name="_Toc7100"/>
      <w:bookmarkStart w:id="260" w:name="_Toc12796"/>
      <w:bookmarkStart w:id="261" w:name="_Toc5510"/>
      <w:r>
        <w:rPr>
          <w:rFonts w:hint="eastAsia"/>
          <w:lang w:val="en-US" w:eastAsia="zh-CN"/>
        </w:rPr>
        <w:t>Co-existence issue or any other spec impacts</w:t>
      </w:r>
      <w:bookmarkEnd w:id="257"/>
      <w:bookmarkEnd w:id="258"/>
      <w:bookmarkEnd w:id="259"/>
      <w:bookmarkEnd w:id="260"/>
      <w:bookmarkEnd w:id="261"/>
    </w:p>
    <w:p>
      <w:pPr>
        <w:spacing w:before="120" w:after="120"/>
        <w:rPr>
          <w:szCs w:val="21"/>
        </w:rPr>
      </w:pP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UE assistance information for network energy saving</w:t>
      </w:r>
    </w:p>
    <w:p>
      <w:pPr>
        <w:spacing w:before="120" w:after="120"/>
        <w:rPr>
          <w:szCs w:val="21"/>
        </w:rPr>
      </w:pPr>
      <w:r>
        <w:rPr>
          <w:szCs w:val="21"/>
        </w:rPr>
        <w:t xml:space="preserve">There is also a need for a tradeoff between potential network energy saving techniques and the system performance loss (throughput, latency, etc.). If the UE can report some information to help network to better acquire UE’s requirements, the network can adjust the energy saving techniques more accurately to reduce the impact on user experience. </w:t>
      </w:r>
    </w:p>
    <w:p>
      <w:pPr>
        <w:pStyle w:val="28"/>
        <w:tabs>
          <w:tab w:val="clear" w:pos="420"/>
          <w:tab w:val="clear" w:pos="4820"/>
        </w:tabs>
        <w:adjustRightInd w:val="0"/>
        <w:snapToGrid w:val="0"/>
        <w:spacing w:before="120" w:after="120"/>
        <w:ind w:left="0"/>
      </w:pPr>
      <w:bookmarkStart w:id="262" w:name="_Toc2245"/>
      <w:bookmarkStart w:id="263" w:name="_Toc27238"/>
      <w:bookmarkStart w:id="264" w:name="_Toc2072"/>
      <w:bookmarkStart w:id="265" w:name="_Toc27091"/>
      <w:bookmarkStart w:id="266" w:name="_Toc102067968"/>
      <w:bookmarkStart w:id="267" w:name="_Toc111146070"/>
      <w:bookmarkStart w:id="268" w:name="_Toc11454"/>
      <w:bookmarkStart w:id="269" w:name="_Toc16437"/>
      <w:bookmarkStart w:id="270" w:name="_Toc3220"/>
      <w:r>
        <w:t>UE assistance information can help network to better acquire UE’s requirements, so that the energy saving techniques can be adjusted more accurately to reduce the impact on user experience and assist network energy saving.</w:t>
      </w:r>
      <w:bookmarkEnd w:id="262"/>
      <w:bookmarkEnd w:id="263"/>
      <w:bookmarkEnd w:id="264"/>
      <w:bookmarkEnd w:id="265"/>
      <w:bookmarkEnd w:id="266"/>
      <w:bookmarkEnd w:id="267"/>
      <w:bookmarkEnd w:id="268"/>
      <w:bookmarkEnd w:id="269"/>
      <w:bookmarkEnd w:id="270"/>
    </w:p>
    <w:p>
      <w:pPr>
        <w:spacing w:before="120" w:after="120"/>
        <w:rPr>
          <w:szCs w:val="21"/>
        </w:rPr>
      </w:pPr>
      <w:r>
        <w:rPr>
          <w:rFonts w:hint="eastAsia"/>
          <w:szCs w:val="21"/>
        </w:rPr>
        <w:t>For</w:t>
      </w:r>
      <w:r>
        <w:rPr>
          <w:szCs w:val="21"/>
        </w:rPr>
        <w:t xml:space="preserve"> UE assistance information, </w:t>
      </w:r>
      <w:r>
        <w:rPr>
          <w:rFonts w:hint="eastAsia"/>
          <w:szCs w:val="21"/>
        </w:rPr>
        <w:t xml:space="preserve">both traffic related assistance information, such as </w:t>
      </w:r>
      <w:r>
        <w:rPr>
          <w:szCs w:val="21"/>
        </w:rPr>
        <w:t>UE traffic volume information</w:t>
      </w:r>
      <w:r>
        <w:rPr>
          <w:rFonts w:hint="eastAsia"/>
          <w:szCs w:val="21"/>
        </w:rPr>
        <w:t>,</w:t>
      </w:r>
      <w:r>
        <w:rPr>
          <w:szCs w:val="21"/>
        </w:rPr>
        <w:t xml:space="preserve"> </w:t>
      </w:r>
      <w:r>
        <w:rPr>
          <w:rFonts w:hint="eastAsia"/>
          <w:szCs w:val="21"/>
        </w:rPr>
        <w:t xml:space="preserve">and UE mobility related assistance information, such as UE mobility trajectory, UE mobility direction, etc. can be used to assist the network energy saving. </w:t>
      </w:r>
      <w:r>
        <w:rPr>
          <w:szCs w:val="21"/>
        </w:rPr>
        <w:t xml:space="preserve"> </w:t>
      </w:r>
    </w:p>
    <w:p>
      <w:pPr>
        <w:pStyle w:val="29"/>
        <w:spacing w:before="120" w:after="120"/>
        <w:rPr>
          <w:lang w:val="en-US" w:eastAsia="zh-CN"/>
        </w:rPr>
      </w:pPr>
      <w:r>
        <w:rPr>
          <w:rFonts w:eastAsia="宋体"/>
          <w:lang w:val="en-US" w:eastAsia="zh-CN"/>
        </w:rPr>
        <w:t xml:space="preserve"> </w:t>
      </w:r>
      <w:bookmarkStart w:id="271" w:name="_Toc8135"/>
      <w:bookmarkStart w:id="272" w:name="_Toc16498"/>
      <w:bookmarkStart w:id="273" w:name="_Toc32203"/>
      <w:bookmarkStart w:id="274" w:name="_Toc102067908"/>
      <w:bookmarkStart w:id="275" w:name="_Toc20244"/>
      <w:bookmarkStart w:id="276" w:name="_Toc28278"/>
      <w:bookmarkStart w:id="277" w:name="_Toc22308"/>
      <w:bookmarkStart w:id="278" w:name="_Toc18917"/>
      <w:r>
        <w:rPr>
          <w:lang w:val="en-US" w:eastAsia="zh-CN"/>
        </w:rPr>
        <w:t>The UE assistance information can be considered for network energy saving.</w:t>
      </w:r>
      <w:bookmarkEnd w:id="271"/>
      <w:bookmarkEnd w:id="272"/>
      <w:bookmarkEnd w:id="273"/>
      <w:bookmarkEnd w:id="274"/>
      <w:bookmarkEnd w:id="275"/>
      <w:bookmarkEnd w:id="276"/>
      <w:bookmarkEnd w:id="277"/>
      <w:bookmarkEnd w:id="278"/>
    </w:p>
    <w:p>
      <w:pPr>
        <w:spacing w:before="120" w:after="120"/>
        <w:rPr>
          <w:szCs w:val="21"/>
        </w:rPr>
      </w:pP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techniques for network energy saving and have the following observations and proposals.</w:t>
      </w:r>
    </w:p>
    <w:p>
      <w:pPr>
        <w:pStyle w:val="12"/>
        <w:tabs>
          <w:tab w:val="right" w:leader="dot" w:pos="9660"/>
          <w:tab w:val="clear" w:pos="0"/>
        </w:tabs>
        <w:spacing w:before="120" w:after="12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"_Toc25982" </w:instrText>
      </w:r>
      <w:r>
        <w:fldChar w:fldCharType="separate"/>
      </w:r>
      <w:r>
        <w:rPr>
          <w:rFonts w:eastAsia="宋体"/>
          <w:iCs w:val="0"/>
          <w:szCs w:val="21"/>
        </w:rPr>
        <w:t xml:space="preserve">Observation 1: </w:t>
      </w:r>
      <w:r>
        <w:rPr>
          <w:szCs w:val="21"/>
        </w:rPr>
        <w:t xml:space="preserve">The SSB-less and SIB-less scheme can obtain 6.5% ~ 24.2% energy saving gain </w:t>
      </w:r>
      <w:r>
        <w:rPr>
          <w:szCs w:val="21"/>
          <w:lang w:bidi="ar"/>
        </w:rPr>
        <w:t xml:space="preserve">for TDD and 14.9%~45.5% energy saving gain for FDD </w:t>
      </w:r>
      <w:r>
        <w:rPr>
          <w:szCs w:val="21"/>
        </w:rPr>
        <w:t>in the cases RU=</w:t>
      </w:r>
      <w:r>
        <w:rPr>
          <w:rFonts w:hint="eastAsia"/>
          <w:szCs w:val="21"/>
        </w:rPr>
        <w:t>5</w:t>
      </w:r>
      <w:r>
        <w:rPr>
          <w:szCs w:val="21"/>
        </w:rPr>
        <w:t>%~40%. The SSB-less and SIB-less scheme can obtain about 2.1%~</w:t>
      </w:r>
      <w:r>
        <w:rPr>
          <w:rFonts w:hint="eastAsia"/>
          <w:szCs w:val="21"/>
        </w:rPr>
        <w:t>11</w:t>
      </w:r>
      <w:r>
        <w:rPr>
          <w:szCs w:val="21"/>
        </w:rPr>
        <w:t>.7% UPT benefits in the cases RU=5%~</w:t>
      </w:r>
      <w:r>
        <w:rPr>
          <w:rFonts w:hint="eastAsia"/>
          <w:szCs w:val="21"/>
        </w:rPr>
        <w:t>40</w:t>
      </w:r>
      <w:r>
        <w:rPr>
          <w:szCs w:val="21"/>
        </w:rPr>
        <w:t>%.</w:t>
      </w:r>
      <w:r>
        <w:rPr>
          <w:szCs w:val="21"/>
        </w:rPr>
        <w:fldChar w:fldCharType="end"/>
      </w:r>
    </w:p>
    <w:p>
      <w:pPr>
        <w:pStyle w:val="12"/>
        <w:tabs>
          <w:tab w:val="right" w:leader="dot" w:pos="9660"/>
          <w:tab w:val="clear" w:pos="0"/>
        </w:tabs>
        <w:spacing w:before="120" w:after="120"/>
      </w:pPr>
      <w:r>
        <w:fldChar w:fldCharType="begin"/>
      </w:r>
      <w:r>
        <w:instrText xml:space="preserve"> HYPERLINK \l "_Toc6955" </w:instrText>
      </w:r>
      <w:r>
        <w:fldChar w:fldCharType="separate"/>
      </w:r>
      <w:r>
        <w:rPr>
          <w:rFonts w:eastAsia="宋体"/>
          <w:iCs w:val="0"/>
          <w:szCs w:val="21"/>
        </w:rPr>
        <w:t xml:space="preserve">Observation 2: </w:t>
      </w:r>
      <w:r>
        <w:rPr>
          <w:szCs w:val="21"/>
        </w:rPr>
        <w:t>SSB-less SCell or SSB-limited SCell is beneficial to network energy saving.</w:t>
      </w:r>
      <w:r>
        <w:rPr>
          <w:szCs w:val="21"/>
        </w:rPr>
        <w:fldChar w:fldCharType="end"/>
      </w:r>
    </w:p>
    <w:p>
      <w:pPr>
        <w:pStyle w:val="12"/>
        <w:tabs>
          <w:tab w:val="right" w:leader="dot" w:pos="9660"/>
          <w:tab w:val="clear" w:pos="0"/>
        </w:tabs>
        <w:spacing w:before="120" w:after="120"/>
      </w:pPr>
      <w:r>
        <w:fldChar w:fldCharType="begin"/>
      </w:r>
      <w:r>
        <w:instrText xml:space="preserve"> HYPERLINK \l "_Toc7895" </w:instrText>
      </w:r>
      <w:r>
        <w:fldChar w:fldCharType="separate"/>
      </w:r>
      <w:r>
        <w:rPr>
          <w:rFonts w:eastAsia="宋体"/>
          <w:iCs w:val="0"/>
          <w:szCs w:val="21"/>
        </w:rPr>
        <w:t xml:space="preserve">Observation 3: </w:t>
      </w:r>
      <w:r>
        <w:rPr>
          <w:szCs w:val="21"/>
        </w:rPr>
        <w:t>The SSB-less SCell scheme can obtain 5%~14.8%</w:t>
      </w:r>
      <w:r>
        <w:rPr>
          <w:szCs w:val="21"/>
          <w:lang w:bidi="ar"/>
        </w:rPr>
        <w:t xml:space="preserve"> energy saving gain in the cases of RU=</w:t>
      </w:r>
      <w:r>
        <w:rPr>
          <w:szCs w:val="21"/>
        </w:rPr>
        <w:t>5%~25% for TDD and 9.4%~26.4% energy saving gain in the case of RU=5%~15% for FDD.</w:t>
      </w:r>
      <w:r>
        <w:rPr>
          <w:szCs w:val="21"/>
        </w:rPr>
        <w:fldChar w:fldCharType="end"/>
      </w:r>
    </w:p>
    <w:p>
      <w:pPr>
        <w:pStyle w:val="12"/>
        <w:tabs>
          <w:tab w:val="right" w:leader="dot" w:pos="9660"/>
          <w:tab w:val="clear" w:pos="0"/>
        </w:tabs>
        <w:spacing w:before="120" w:after="120"/>
      </w:pPr>
      <w:r>
        <w:fldChar w:fldCharType="begin"/>
      </w:r>
      <w:r>
        <w:instrText xml:space="preserve"> HYPERLINK \l "_Toc16103" </w:instrText>
      </w:r>
      <w:r>
        <w:fldChar w:fldCharType="separate"/>
      </w:r>
      <w:r>
        <w:rPr>
          <w:rFonts w:eastAsia="宋体"/>
          <w:iCs w:val="0"/>
          <w:szCs w:val="21"/>
        </w:rPr>
        <w:t xml:space="preserve">Observation 4: </w:t>
      </w:r>
      <w:r>
        <w:rPr>
          <w:szCs w:val="21"/>
        </w:rPr>
        <w:t>The synchronization and TA issue of SSB-less SCell can be handled by NW implementation.</w:t>
      </w:r>
      <w:r>
        <w:rPr>
          <w:szCs w:val="21"/>
        </w:rPr>
        <w:fldChar w:fldCharType="end"/>
      </w:r>
    </w:p>
    <w:p>
      <w:pPr>
        <w:pStyle w:val="12"/>
        <w:tabs>
          <w:tab w:val="right" w:leader="dot" w:pos="9660"/>
          <w:tab w:val="clear" w:pos="0"/>
        </w:tabs>
        <w:spacing w:before="120" w:after="120"/>
      </w:pPr>
      <w:r>
        <w:fldChar w:fldCharType="begin"/>
      </w:r>
      <w:r>
        <w:instrText xml:space="preserve"> HYPERLINK \l "_Toc20976" </w:instrText>
      </w:r>
      <w:r>
        <w:fldChar w:fldCharType="separate"/>
      </w:r>
      <w:r>
        <w:rPr>
          <w:rFonts w:eastAsia="宋体"/>
          <w:iCs w:val="0"/>
          <w:szCs w:val="21"/>
        </w:rPr>
        <w:t xml:space="preserve">Observation 5: </w:t>
      </w:r>
      <w:r>
        <w:rPr>
          <w:szCs w:val="21"/>
        </w:rPr>
        <w:t>TRS is not needed for the SSB-less SCell at least in the case there is no DL traffic in the SCell.</w:t>
      </w:r>
      <w:r>
        <w:rPr>
          <w:szCs w:val="21"/>
        </w:rPr>
        <w:fldChar w:fldCharType="end"/>
      </w:r>
    </w:p>
    <w:p>
      <w:pPr>
        <w:pStyle w:val="12"/>
        <w:tabs>
          <w:tab w:val="right" w:leader="dot" w:pos="9660"/>
          <w:tab w:val="clear" w:pos="0"/>
        </w:tabs>
        <w:spacing w:before="120" w:after="120"/>
      </w:pPr>
      <w:r>
        <w:fldChar w:fldCharType="begin"/>
      </w:r>
      <w:r>
        <w:instrText xml:space="preserve"> HYPERLINK \l "_Toc8665" </w:instrText>
      </w:r>
      <w:r>
        <w:fldChar w:fldCharType="separate"/>
      </w:r>
      <w:r>
        <w:rPr>
          <w:rFonts w:eastAsia="宋体"/>
          <w:iCs w:val="0"/>
          <w:szCs w:val="21"/>
        </w:rPr>
        <w:t xml:space="preserve">Observation 6: </w:t>
      </w:r>
      <w:r>
        <w:rPr>
          <w:szCs w:val="21"/>
        </w:rPr>
        <w:t>W</w:t>
      </w:r>
      <w:r>
        <w:rPr>
          <w:rFonts w:hint="eastAsia"/>
          <w:szCs w:val="21"/>
        </w:rPr>
        <w:t xml:space="preserve">hen </w:t>
      </w:r>
      <w:r>
        <w:rPr>
          <w:szCs w:val="21"/>
        </w:rPr>
        <w:t xml:space="preserve">the </w:t>
      </w:r>
      <w:r>
        <w:rPr>
          <w:rFonts w:hint="eastAsia"/>
          <w:szCs w:val="21"/>
        </w:rPr>
        <w:t>antenna</w:t>
      </w:r>
      <w:r>
        <w:rPr>
          <w:szCs w:val="21"/>
        </w:rPr>
        <w:t xml:space="preserve"> configuration</w:t>
      </w:r>
      <w:r>
        <w:rPr>
          <w:rFonts w:hint="eastAsia"/>
          <w:szCs w:val="21"/>
        </w:rPr>
        <w:t xml:space="preserve"> is reduced from 64TxRUs to 32TxRUs</w:t>
      </w:r>
      <w:r>
        <w:rPr>
          <w:szCs w:val="21"/>
        </w:rPr>
        <w:t xml:space="preserve">, </w:t>
      </w:r>
      <w:r>
        <w:rPr>
          <w:rFonts w:hint="eastAsia"/>
          <w:szCs w:val="21"/>
        </w:rPr>
        <w:t>17.7</w:t>
      </w:r>
      <w:r>
        <w:rPr>
          <w:szCs w:val="21"/>
        </w:rPr>
        <w:t>%~2</w:t>
      </w:r>
      <w:r>
        <w:rPr>
          <w:rFonts w:hint="eastAsia"/>
          <w:szCs w:val="21"/>
        </w:rPr>
        <w:t>6.4</w:t>
      </w:r>
      <w:r>
        <w:rPr>
          <w:szCs w:val="21"/>
        </w:rPr>
        <w:t>% energy saving gain</w:t>
      </w:r>
      <w:r>
        <w:rPr>
          <w:rFonts w:hint="eastAsia"/>
          <w:szCs w:val="21"/>
        </w:rPr>
        <w:t xml:space="preserve"> </w:t>
      </w:r>
      <w:r>
        <w:rPr>
          <w:szCs w:val="21"/>
        </w:rPr>
        <w:t>can be observed in the case RU=</w:t>
      </w:r>
      <w:r>
        <w:rPr>
          <w:rFonts w:hint="eastAsia"/>
          <w:szCs w:val="21"/>
        </w:rPr>
        <w:t>10</w:t>
      </w:r>
      <w:r>
        <w:rPr>
          <w:szCs w:val="21"/>
        </w:rPr>
        <w:t>%~3</w:t>
      </w:r>
      <w:r>
        <w:rPr>
          <w:rFonts w:hint="eastAsia"/>
          <w:szCs w:val="21"/>
        </w:rPr>
        <w:t>5</w:t>
      </w:r>
      <w:r>
        <w:rPr>
          <w:szCs w:val="21"/>
        </w:rPr>
        <w:t>% with</w:t>
      </w:r>
      <w:r>
        <w:rPr>
          <w:rFonts w:hint="eastAsia"/>
          <w:szCs w:val="21"/>
        </w:rPr>
        <w:t xml:space="preserve"> 3.7%~10.9% UPT los</w:t>
      </w:r>
      <w:r>
        <w:rPr>
          <w:szCs w:val="21"/>
        </w:rPr>
        <w:t>s.</w:t>
      </w:r>
      <w:r>
        <w:rPr>
          <w:szCs w:val="21"/>
        </w:rPr>
        <w:fldChar w:fldCharType="end"/>
      </w:r>
    </w:p>
    <w:p>
      <w:pPr>
        <w:pStyle w:val="12"/>
        <w:tabs>
          <w:tab w:val="right" w:leader="dot" w:pos="9660"/>
          <w:tab w:val="clear" w:pos="0"/>
        </w:tabs>
        <w:spacing w:before="120" w:after="120"/>
      </w:pPr>
      <w:r>
        <w:fldChar w:fldCharType="begin"/>
      </w:r>
      <w:r>
        <w:instrText xml:space="preserve"> HYPERLINK \l "_Toc12032" </w:instrText>
      </w:r>
      <w:r>
        <w:fldChar w:fldCharType="separate"/>
      </w:r>
      <w:r>
        <w:rPr>
          <w:rFonts w:eastAsia="宋体"/>
          <w:iCs w:val="0"/>
          <w:szCs w:val="21"/>
        </w:rPr>
        <w:t xml:space="preserve">Observation 7: </w:t>
      </w:r>
      <w:r>
        <w:rPr>
          <w:szCs w:val="21"/>
        </w:rPr>
        <w:t xml:space="preserve">RRC reconfiguration is needed to update the configuration of reference signals due to the </w:t>
      </w:r>
      <w:r>
        <w:rPr>
          <w:rFonts w:hint="eastAsia"/>
          <w:szCs w:val="21"/>
        </w:rPr>
        <w:t>TxRU</w:t>
      </w:r>
      <w:r>
        <w:rPr>
          <w:szCs w:val="21"/>
        </w:rPr>
        <w:t xml:space="preserve"> de-activation, which</w:t>
      </w:r>
      <w:r>
        <w:rPr>
          <w:rFonts w:hint="eastAsia"/>
          <w:szCs w:val="21"/>
        </w:rPr>
        <w:t xml:space="preserve"> </w:t>
      </w:r>
      <w:r>
        <w:rPr>
          <w:szCs w:val="21"/>
        </w:rPr>
        <w:t>will increase the signaling overhead and decrease the spectrum efficiency.</w:t>
      </w:r>
      <w:r>
        <w:rPr>
          <w:szCs w:val="21"/>
        </w:rPr>
        <w:fldChar w:fldCharType="end"/>
      </w:r>
    </w:p>
    <w:p>
      <w:pPr>
        <w:pStyle w:val="12"/>
        <w:tabs>
          <w:tab w:val="right" w:leader="dot" w:pos="9660"/>
          <w:tab w:val="clear" w:pos="0"/>
        </w:tabs>
        <w:spacing w:before="120" w:after="120"/>
      </w:pPr>
      <w:r>
        <w:fldChar w:fldCharType="begin"/>
      </w:r>
      <w:r>
        <w:instrText xml:space="preserve"> HYPERLINK \l "_Toc2329" </w:instrText>
      </w:r>
      <w:r>
        <w:fldChar w:fldCharType="separate"/>
      </w:r>
      <w:r>
        <w:rPr>
          <w:rFonts w:eastAsia="宋体"/>
          <w:iCs w:val="0"/>
          <w:szCs w:val="21"/>
        </w:rPr>
        <w:t xml:space="preserve">Observation 8: </w:t>
      </w:r>
      <w:r>
        <w:rPr>
          <w:szCs w:val="21"/>
        </w:rPr>
        <w:t>CSI measurement results may be out-of-state if partial TxRUs are de-activated.</w:t>
      </w:r>
      <w:r>
        <w:rPr>
          <w:szCs w:val="21"/>
        </w:rPr>
        <w:fldChar w:fldCharType="end"/>
      </w:r>
    </w:p>
    <w:p>
      <w:pPr>
        <w:pStyle w:val="12"/>
        <w:tabs>
          <w:tab w:val="right" w:leader="dot" w:pos="9660"/>
          <w:tab w:val="clear" w:pos="0"/>
        </w:tabs>
        <w:spacing w:before="120" w:after="120"/>
        <w:rPr>
          <w:szCs w:val="21"/>
        </w:rPr>
      </w:pPr>
      <w:r>
        <w:fldChar w:fldCharType="begin"/>
      </w:r>
      <w:r>
        <w:instrText xml:space="preserve"> HYPERLINK \l "_Toc19858" </w:instrText>
      </w:r>
      <w:r>
        <w:fldChar w:fldCharType="separate"/>
      </w:r>
      <w:r>
        <w:rPr>
          <w:rFonts w:eastAsia="宋体"/>
          <w:iCs w:val="0"/>
          <w:szCs w:val="21"/>
        </w:rPr>
        <w:t xml:space="preserve">Observation 9: </w:t>
      </w:r>
      <w:r>
        <w:rPr>
          <w:szCs w:val="21"/>
        </w:rPr>
        <w:t>The following issues need to be considered for dynamic spatial domain adaptation</w:t>
      </w:r>
      <w:r>
        <w:rPr>
          <w:szCs w:val="21"/>
        </w:rPr>
        <w:fldChar w:fldCharType="end"/>
      </w:r>
    </w:p>
    <w:p>
      <w:pPr>
        <w:pStyle w:val="35"/>
        <w:numPr>
          <w:ilvl w:val="0"/>
          <w:numId w:val="12"/>
        </w:numPr>
        <w:tabs>
          <w:tab w:val="left" w:pos="0"/>
        </w:tabs>
        <w:spacing w:after="120"/>
        <w:rPr>
          <w:rFonts w:eastAsiaTheme="minorEastAsia"/>
          <w:b/>
          <w:sz w:val="21"/>
          <w:szCs w:val="21"/>
        </w:rPr>
      </w:pPr>
      <w:r>
        <w:rPr>
          <w:rFonts w:eastAsiaTheme="minorEastAsia"/>
          <w:b/>
          <w:sz w:val="21"/>
          <w:szCs w:val="21"/>
        </w:rPr>
        <w:t xml:space="preserve">The </w:t>
      </w:r>
      <w:r>
        <w:rPr>
          <w:rFonts w:hint="eastAsia" w:eastAsiaTheme="minorEastAsia"/>
          <w:b/>
          <w:sz w:val="21"/>
          <w:szCs w:val="21"/>
        </w:rPr>
        <w:t>mismatch between</w:t>
      </w:r>
      <w:r>
        <w:rPr>
          <w:rFonts w:eastAsiaTheme="minorEastAsia"/>
          <w:b/>
          <w:sz w:val="21"/>
          <w:szCs w:val="21"/>
        </w:rPr>
        <w:t xml:space="preserve"> the</w:t>
      </w:r>
      <w:r>
        <w:rPr>
          <w:rFonts w:hint="eastAsia" w:eastAsiaTheme="minorEastAsia"/>
          <w:b/>
          <w:sz w:val="21"/>
          <w:szCs w:val="21"/>
        </w:rPr>
        <w:t> </w:t>
      </w:r>
      <w:r>
        <w:rPr>
          <w:rFonts w:eastAsiaTheme="minorEastAsia"/>
          <w:b/>
          <w:sz w:val="21"/>
          <w:szCs w:val="21"/>
        </w:rPr>
        <w:t>reference signal</w:t>
      </w:r>
      <w:r>
        <w:rPr>
          <w:rFonts w:hint="eastAsia" w:eastAsiaTheme="minorEastAsia"/>
          <w:b/>
          <w:sz w:val="21"/>
          <w:szCs w:val="21"/>
        </w:rPr>
        <w:t xml:space="preserve"> configurations, including CSI-RS, and the number of TxRUs.</w:t>
      </w:r>
    </w:p>
    <w:p>
      <w:pPr>
        <w:pStyle w:val="35"/>
        <w:numPr>
          <w:ilvl w:val="0"/>
          <w:numId w:val="12"/>
        </w:numPr>
        <w:tabs>
          <w:tab w:val="left" w:pos="0"/>
        </w:tabs>
        <w:spacing w:after="120"/>
        <w:rPr>
          <w:rFonts w:eastAsiaTheme="minorEastAsia"/>
          <w:b/>
          <w:sz w:val="21"/>
          <w:szCs w:val="21"/>
        </w:rPr>
      </w:pPr>
      <w:r>
        <w:rPr>
          <w:rFonts w:hint="eastAsia" w:eastAsiaTheme="minorEastAsia"/>
          <w:b/>
          <w:sz w:val="21"/>
          <w:szCs w:val="21"/>
        </w:rPr>
        <w:t>The m</w:t>
      </w:r>
      <w:r>
        <w:rPr>
          <w:rFonts w:eastAsiaTheme="minorEastAsia"/>
          <w:b/>
          <w:sz w:val="21"/>
          <w:szCs w:val="21"/>
        </w:rPr>
        <w:t>easurement</w:t>
      </w:r>
      <w:r>
        <w:rPr>
          <w:rFonts w:hint="eastAsia" w:eastAsiaTheme="minorEastAsia"/>
          <w:b/>
          <w:sz w:val="21"/>
          <w:szCs w:val="21"/>
        </w:rPr>
        <w:t>/report</w:t>
      </w:r>
      <w:r>
        <w:rPr>
          <w:rFonts w:eastAsiaTheme="minorEastAsia"/>
          <w:b/>
          <w:sz w:val="21"/>
          <w:szCs w:val="21"/>
        </w:rPr>
        <w:t xml:space="preserve"> results, including CSI measurement</w:t>
      </w:r>
      <w:r>
        <w:rPr>
          <w:rFonts w:hint="eastAsia" w:eastAsiaTheme="minorEastAsia"/>
          <w:b/>
          <w:sz w:val="21"/>
          <w:szCs w:val="21"/>
        </w:rPr>
        <w:t xml:space="preserve">/report, </w:t>
      </w:r>
      <w:r>
        <w:rPr>
          <w:rFonts w:eastAsiaTheme="minorEastAsia"/>
          <w:b/>
          <w:sz w:val="21"/>
          <w:szCs w:val="21"/>
        </w:rPr>
        <w:t>may be out-of-state</w:t>
      </w:r>
      <w:r>
        <w:rPr>
          <w:rFonts w:hint="eastAsia" w:eastAsiaTheme="minorEastAsia"/>
          <w:b/>
          <w:sz w:val="21"/>
          <w:szCs w:val="21"/>
        </w:rPr>
        <w:t xml:space="preserve"> even if the reference signal configuration does not need to be updated.</w:t>
      </w:r>
    </w:p>
    <w:p>
      <w:pPr>
        <w:pStyle w:val="12"/>
        <w:tabs>
          <w:tab w:val="right" w:leader="dot" w:pos="9660"/>
          <w:tab w:val="clear" w:pos="0"/>
        </w:tabs>
        <w:spacing w:before="120" w:after="120"/>
      </w:pPr>
      <w:r>
        <w:fldChar w:fldCharType="begin"/>
      </w:r>
      <w:r>
        <w:instrText xml:space="preserve"> HYPERLINK \l "_Toc16783" </w:instrText>
      </w:r>
      <w:r>
        <w:fldChar w:fldCharType="separate"/>
      </w:r>
      <w:r>
        <w:rPr>
          <w:rFonts w:eastAsia="宋体"/>
          <w:iCs w:val="0"/>
          <w:szCs w:val="21"/>
        </w:rPr>
        <w:t xml:space="preserve">Observation 10: </w:t>
      </w:r>
      <w:r>
        <w:rPr>
          <w:szCs w:val="21"/>
        </w:rPr>
        <w:t>Fixed DL transmission power cannot adapt to requirements of NW power saving, UE power saving and interference management.</w:t>
      </w:r>
      <w:r>
        <w:rPr>
          <w:szCs w:val="21"/>
        </w:rPr>
        <w:fldChar w:fldCharType="end"/>
      </w:r>
    </w:p>
    <w:p>
      <w:pPr>
        <w:pStyle w:val="12"/>
        <w:tabs>
          <w:tab w:val="right" w:leader="dot" w:pos="9660"/>
          <w:tab w:val="clear" w:pos="0"/>
        </w:tabs>
        <w:spacing w:before="120" w:after="120"/>
      </w:pPr>
      <w:r>
        <w:fldChar w:fldCharType="begin"/>
      </w:r>
      <w:r>
        <w:instrText xml:space="preserve"> HYPERLINK \l "_Toc13391" </w:instrText>
      </w:r>
      <w:r>
        <w:fldChar w:fldCharType="separate"/>
      </w:r>
      <w:r>
        <w:rPr>
          <w:rFonts w:eastAsia="宋体"/>
          <w:iCs w:val="0"/>
          <w:szCs w:val="21"/>
        </w:rPr>
        <w:t xml:space="preserve">Observation 11: </w:t>
      </w:r>
      <w:r>
        <w:rPr>
          <w:szCs w:val="21"/>
        </w:rPr>
        <w:t>Dynamic power adjustment can help UE and gNB power saving and keeps performance impact under control.</w:t>
      </w:r>
      <w:r>
        <w:rPr>
          <w:szCs w:val="21"/>
        </w:rPr>
        <w:fldChar w:fldCharType="end"/>
      </w:r>
    </w:p>
    <w:p>
      <w:pPr>
        <w:pStyle w:val="12"/>
        <w:tabs>
          <w:tab w:val="right" w:leader="dot" w:pos="9660"/>
          <w:tab w:val="clear" w:pos="0"/>
        </w:tabs>
        <w:spacing w:before="120" w:after="120"/>
      </w:pPr>
      <w:r>
        <w:fldChar w:fldCharType="begin"/>
      </w:r>
      <w:r>
        <w:instrText xml:space="preserve"> HYPERLINK \l "_Toc30487" </w:instrText>
      </w:r>
      <w:r>
        <w:fldChar w:fldCharType="separate"/>
      </w:r>
      <w:r>
        <w:rPr>
          <w:rFonts w:eastAsia="宋体"/>
          <w:iCs w:val="0"/>
          <w:szCs w:val="21"/>
        </w:rPr>
        <w:t xml:space="preserve">Observation 12: </w:t>
      </w:r>
      <w:r>
        <w:rPr>
          <w:szCs w:val="21"/>
        </w:rPr>
        <w:t>9.4%~21% network energy saving gain is observed in the case RU=10%~40% when NW transmission power is reduced by 3dB.</w:t>
      </w:r>
      <w:r>
        <w:rPr>
          <w:szCs w:val="21"/>
        </w:rPr>
        <w:fldChar w:fldCharType="end"/>
      </w:r>
    </w:p>
    <w:p>
      <w:pPr>
        <w:pStyle w:val="12"/>
        <w:tabs>
          <w:tab w:val="right" w:leader="dot" w:pos="9660"/>
          <w:tab w:val="clear" w:pos="0"/>
        </w:tabs>
        <w:spacing w:before="120" w:after="120"/>
      </w:pPr>
      <w:r>
        <w:fldChar w:fldCharType="begin"/>
      </w:r>
      <w:r>
        <w:instrText xml:space="preserve"> HYPERLINK \l "_Toc2072" </w:instrText>
      </w:r>
      <w:r>
        <w:fldChar w:fldCharType="separate"/>
      </w:r>
      <w:r>
        <w:rPr>
          <w:rFonts w:eastAsia="宋体"/>
          <w:iCs w:val="0"/>
          <w:szCs w:val="21"/>
        </w:rPr>
        <w:t xml:space="preserve">Observation 13: </w:t>
      </w:r>
      <w:r>
        <w:rPr>
          <w:szCs w:val="21"/>
        </w:rPr>
        <w:t>UE assistance information can help network to better acquire UE’s requirements, so that the energy saving techniques can be adjusted more accurately to reduce the impact on user experience and assist network energy saving.</w:t>
      </w:r>
      <w:r>
        <w:rPr>
          <w:szCs w:val="21"/>
        </w:rPr>
        <w:fldChar w:fldCharType="end"/>
      </w:r>
    </w:p>
    <w:p>
      <w:pPr>
        <w:spacing w:before="120" w:after="120"/>
        <w:rPr>
          <w:szCs w:val="21"/>
        </w:rPr>
      </w:pPr>
      <w:r>
        <w:rPr>
          <w:szCs w:val="21"/>
        </w:rPr>
        <w:fldChar w:fldCharType="end"/>
      </w:r>
    </w:p>
    <w:p>
      <w:pPr>
        <w:pStyle w:val="12"/>
        <w:tabs>
          <w:tab w:val="right" w:leader="dot" w:pos="9660"/>
          <w:tab w:val="clear" w:pos="0"/>
        </w:tabs>
        <w:spacing w:before="120" w:after="120"/>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"_Toc18109" </w:instrText>
      </w:r>
      <w:r>
        <w:fldChar w:fldCharType="separate"/>
      </w:r>
      <w:r>
        <w:rPr>
          <w:rFonts w:eastAsia="宋体"/>
          <w:iCs w:val="0"/>
          <w:szCs w:val="21"/>
        </w:rPr>
        <w:t xml:space="preserve">Proposal 1: </w:t>
      </w:r>
      <w:r>
        <w:rPr>
          <w:rFonts w:hint="eastAsia"/>
          <w:iCs w:val="0"/>
          <w:szCs w:val="21"/>
        </w:rPr>
        <w:t xml:space="preserve">For each </w:t>
      </w:r>
      <w:r>
        <w:rPr>
          <w:iCs w:val="0"/>
          <w:szCs w:val="21"/>
        </w:rPr>
        <w:t xml:space="preserve">potential </w:t>
      </w:r>
      <w:r>
        <w:rPr>
          <w:rFonts w:hint="eastAsia"/>
          <w:iCs w:val="0"/>
          <w:szCs w:val="21"/>
        </w:rPr>
        <w:t xml:space="preserve">network energy saving technique, </w:t>
      </w:r>
      <w:r>
        <w:rPr>
          <w:iCs w:val="0"/>
          <w:szCs w:val="21"/>
        </w:rPr>
        <w:t>their</w:t>
      </w:r>
      <w:r>
        <w:rPr>
          <w:rFonts w:hint="eastAsia"/>
          <w:iCs w:val="0"/>
          <w:szCs w:val="21"/>
        </w:rPr>
        <w:t xml:space="preserve"> technique description, performance analysis including </w:t>
      </w:r>
      <w:r>
        <w:rPr>
          <w:szCs w:val="21"/>
        </w:rPr>
        <w:t xml:space="preserve">energy </w:t>
      </w:r>
      <w:r>
        <w:rPr>
          <w:rFonts w:hint="eastAsia"/>
          <w:iCs w:val="0"/>
          <w:szCs w:val="21"/>
        </w:rPr>
        <w:t>saving gain, impact on UPT and other KPIs, and specification impact should be captured in</w:t>
      </w:r>
      <w:r>
        <w:rPr>
          <w:iCs w:val="0"/>
          <w:szCs w:val="21"/>
        </w:rPr>
        <w:t>to the</w:t>
      </w:r>
      <w:r>
        <w:rPr>
          <w:rFonts w:hint="eastAsia"/>
          <w:iCs w:val="0"/>
          <w:szCs w:val="21"/>
        </w:rPr>
        <w:t xml:space="preserve"> TR.</w:t>
      </w:r>
      <w:r>
        <w:rPr>
          <w:rFonts w:hint="eastAsia"/>
          <w:iCs w:val="0"/>
          <w:szCs w:val="21"/>
        </w:rPr>
        <w:fldChar w:fldCharType="end"/>
      </w:r>
    </w:p>
    <w:p>
      <w:pPr>
        <w:pStyle w:val="12"/>
        <w:tabs>
          <w:tab w:val="right" w:leader="dot" w:pos="9660"/>
          <w:tab w:val="clear" w:pos="0"/>
        </w:tabs>
        <w:spacing w:before="120" w:after="120"/>
      </w:pPr>
      <w:r>
        <w:fldChar w:fldCharType="begin"/>
      </w:r>
      <w:r>
        <w:instrText xml:space="preserve"> HYPERLINK \l "_Toc26092" </w:instrText>
      </w:r>
      <w:r>
        <w:fldChar w:fldCharType="separate"/>
      </w:r>
      <w:r>
        <w:rPr>
          <w:rFonts w:eastAsia="宋体"/>
          <w:iCs w:val="0"/>
          <w:szCs w:val="21"/>
        </w:rPr>
        <w:t xml:space="preserve">Proposal 2: </w:t>
      </w:r>
      <w:r>
        <w:rPr>
          <w:iCs w:val="0"/>
          <w:szCs w:val="21"/>
        </w:rPr>
        <w:t>A serving</w:t>
      </w:r>
      <w:r>
        <w:rPr>
          <w:rFonts w:hint="eastAsia"/>
          <w:iCs w:val="0"/>
          <w:szCs w:val="21"/>
        </w:rPr>
        <w:t xml:space="preserve"> cell with </w:t>
      </w:r>
      <w:r>
        <w:rPr>
          <w:szCs w:val="21"/>
        </w:rPr>
        <w:t xml:space="preserve">DL common signal/channel (i.e., SSB, SIB) reduction </w:t>
      </w:r>
      <w:r>
        <w:rPr>
          <w:iCs w:val="0"/>
          <w:szCs w:val="21"/>
        </w:rPr>
        <w:t>can be considered for network energy saving.</w:t>
      </w:r>
      <w:r>
        <w:rPr>
          <w:iCs w:val="0"/>
          <w:szCs w:val="21"/>
        </w:rPr>
        <w:fldChar w:fldCharType="end"/>
      </w:r>
    </w:p>
    <w:p>
      <w:pPr>
        <w:pStyle w:val="12"/>
        <w:tabs>
          <w:tab w:val="right" w:leader="dot" w:pos="9660"/>
          <w:tab w:val="clear" w:pos="0"/>
        </w:tabs>
        <w:spacing w:before="120" w:after="120"/>
      </w:pPr>
      <w:r>
        <w:fldChar w:fldCharType="begin"/>
      </w:r>
      <w:r>
        <w:instrText xml:space="preserve"> HYPERLINK \l "_Toc16070" </w:instrText>
      </w:r>
      <w:r>
        <w:fldChar w:fldCharType="separate"/>
      </w:r>
      <w:r>
        <w:rPr>
          <w:rFonts w:eastAsia="宋体"/>
          <w:iCs w:val="0"/>
          <w:szCs w:val="21"/>
        </w:rPr>
        <w:t xml:space="preserve">Proposal 3: </w:t>
      </w:r>
      <w:r>
        <w:rPr>
          <w:iCs w:val="0"/>
          <w:szCs w:val="21"/>
        </w:rPr>
        <w:t>UEs can obtain SIB from an assistant cell.</w:t>
      </w:r>
      <w:r>
        <w:rPr>
          <w:iCs w:val="0"/>
          <w:szCs w:val="21"/>
        </w:rPr>
        <w:fldChar w:fldCharType="end"/>
      </w:r>
    </w:p>
    <w:p>
      <w:pPr>
        <w:pStyle w:val="12"/>
        <w:tabs>
          <w:tab w:val="right" w:leader="dot" w:pos="9660"/>
          <w:tab w:val="clear" w:pos="0"/>
        </w:tabs>
        <w:spacing w:before="120" w:after="120"/>
      </w:pPr>
      <w:r>
        <w:fldChar w:fldCharType="begin"/>
      </w:r>
      <w:r>
        <w:instrText xml:space="preserve"> HYPERLINK \l "_Toc15217" </w:instrText>
      </w:r>
      <w:r>
        <w:fldChar w:fldCharType="separate"/>
      </w:r>
      <w:r>
        <w:rPr>
          <w:rFonts w:eastAsia="宋体"/>
          <w:iCs w:val="0"/>
          <w:szCs w:val="21"/>
        </w:rPr>
        <w:t xml:space="preserve">Proposal 4: </w:t>
      </w:r>
      <w:r>
        <w:rPr>
          <w:iCs w:val="0"/>
          <w:szCs w:val="21"/>
        </w:rPr>
        <w:t xml:space="preserve">The impact </w:t>
      </w:r>
      <w:r>
        <w:rPr>
          <w:rFonts w:hint="eastAsia"/>
          <w:iCs w:val="0"/>
          <w:szCs w:val="21"/>
        </w:rPr>
        <w:t>of common signal reduction (e.g. SSB, SIB</w:t>
      </w:r>
      <w:r>
        <w:rPr>
          <w:iCs w:val="0"/>
          <w:szCs w:val="21"/>
        </w:rPr>
        <w:t xml:space="preserve"> reduction</w:t>
      </w:r>
      <w:r>
        <w:rPr>
          <w:rFonts w:hint="eastAsia"/>
          <w:iCs w:val="0"/>
          <w:szCs w:val="21"/>
        </w:rPr>
        <w:t>) on uplink transmission (e.g. PRACH) should be considered.</w:t>
      </w:r>
      <w:r>
        <w:rPr>
          <w:rFonts w:hint="eastAsia"/>
          <w:iCs w:val="0"/>
          <w:szCs w:val="21"/>
        </w:rPr>
        <w:fldChar w:fldCharType="end"/>
      </w:r>
    </w:p>
    <w:p>
      <w:pPr>
        <w:pStyle w:val="12"/>
        <w:tabs>
          <w:tab w:val="right" w:leader="dot" w:pos="9660"/>
          <w:tab w:val="clear" w:pos="0"/>
        </w:tabs>
        <w:spacing w:before="120" w:after="120"/>
      </w:pPr>
      <w:r>
        <w:fldChar w:fldCharType="begin"/>
      </w:r>
      <w:r>
        <w:instrText xml:space="preserve"> HYPERLINK \l "_Toc28791" </w:instrText>
      </w:r>
      <w:r>
        <w:fldChar w:fldCharType="separate"/>
      </w:r>
      <w:r>
        <w:rPr>
          <w:rFonts w:eastAsia="宋体"/>
          <w:iCs w:val="0"/>
          <w:szCs w:val="21"/>
        </w:rPr>
        <w:t xml:space="preserve">Proposal 5: </w:t>
      </w:r>
      <w:r>
        <w:rPr>
          <w:iCs w:val="0"/>
          <w:szCs w:val="21"/>
        </w:rPr>
        <w:t>An uplink WUS sent by UE can be considered for DL common signal/channel (e.g., SIB</w:t>
      </w:r>
      <w:r>
        <w:rPr>
          <w:rFonts w:hint="eastAsia"/>
          <w:iCs w:val="0"/>
          <w:szCs w:val="21"/>
        </w:rPr>
        <w:t>/SSB</w:t>
      </w:r>
      <w:r>
        <w:rPr>
          <w:iCs w:val="0"/>
          <w:szCs w:val="21"/>
        </w:rPr>
        <w:t>) adaption or cell activation operation.</w:t>
      </w:r>
      <w:r>
        <w:rPr>
          <w:iCs w:val="0"/>
          <w:szCs w:val="21"/>
        </w:rPr>
        <w:fldChar w:fldCharType="end"/>
      </w:r>
    </w:p>
    <w:p>
      <w:pPr>
        <w:pStyle w:val="12"/>
        <w:tabs>
          <w:tab w:val="right" w:leader="dot" w:pos="9660"/>
          <w:tab w:val="clear" w:pos="0"/>
        </w:tabs>
        <w:spacing w:before="120" w:after="120"/>
      </w:pPr>
      <w:r>
        <w:fldChar w:fldCharType="begin"/>
      </w:r>
      <w:r>
        <w:instrText xml:space="preserve"> HYPERLINK \l "_Toc20035" </w:instrText>
      </w:r>
      <w:r>
        <w:fldChar w:fldCharType="separate"/>
      </w:r>
      <w:r>
        <w:rPr>
          <w:rFonts w:eastAsia="宋体"/>
          <w:iCs w:val="0"/>
          <w:szCs w:val="21"/>
        </w:rPr>
        <w:t xml:space="preserve">Proposal 6: </w:t>
      </w:r>
      <w:r>
        <w:rPr>
          <w:rFonts w:hint="eastAsia"/>
          <w:szCs w:val="21"/>
        </w:rPr>
        <w:t>Capture the following description in</w:t>
      </w:r>
      <w:r>
        <w:rPr>
          <w:szCs w:val="21"/>
        </w:rPr>
        <w:t xml:space="preserve"> the network energy saving techniques in time domain in</w:t>
      </w:r>
      <w:r>
        <w:rPr>
          <w:rFonts w:hint="eastAsia"/>
          <w:szCs w:val="21"/>
        </w:rPr>
        <w:t xml:space="preserve"> </w:t>
      </w:r>
      <w:r>
        <w:rPr>
          <w:szCs w:val="21"/>
        </w:rPr>
        <w:t xml:space="preserve">the </w:t>
      </w:r>
      <w:r>
        <w:rPr>
          <w:rFonts w:hint="eastAsia"/>
          <w:szCs w:val="21"/>
        </w:rPr>
        <w:t>TR</w:t>
      </w:r>
      <w:r>
        <w:rPr>
          <w:rFonts w:hint="eastAsia"/>
          <w:iCs w:val="0"/>
          <w:szCs w:val="21"/>
        </w:rPr>
        <w:t>.</w:t>
      </w:r>
      <w:r>
        <w:rPr>
          <w:rFonts w:hint="eastAsia"/>
          <w:iCs w:val="0"/>
          <w:szCs w:val="21"/>
        </w:rPr>
        <w:fldChar w:fldCharType="end"/>
      </w:r>
    </w:p>
    <w:p>
      <w:pPr>
        <w:pStyle w:val="29"/>
        <w:numPr>
          <w:ilvl w:val="0"/>
          <w:numId w:val="10"/>
        </w:numPr>
        <w:spacing w:before="120" w:after="120"/>
        <w:ind w:left="420" w:leftChars="200"/>
      </w:pPr>
      <w:r>
        <w:rPr>
          <w:lang w:val="en-US" w:eastAsia="zh-CN"/>
        </w:rPr>
        <w:t>Adaptation of common signals and channels</w:t>
      </w:r>
      <w:r>
        <w:rPr>
          <w:rFonts w:hint="eastAsia"/>
          <w:lang w:val="en-US" w:eastAsia="zh-CN"/>
        </w:rPr>
        <w:t xml:space="preserve">. </w:t>
      </w:r>
    </w:p>
    <w:p>
      <w:pPr>
        <w:pStyle w:val="29"/>
        <w:numPr>
          <w:ilvl w:val="1"/>
          <w:numId w:val="10"/>
        </w:numPr>
        <w:tabs>
          <w:tab w:val="clear" w:pos="840"/>
        </w:tabs>
        <w:spacing w:before="120" w:after="120"/>
        <w:ind w:left="1260"/>
        <w:rPr>
          <w:lang w:val="en-US" w:eastAsia="zh-CN"/>
        </w:rPr>
      </w:pPr>
      <w:r>
        <w:rPr>
          <w:rFonts w:hint="eastAsia"/>
          <w:lang w:val="en-US" w:eastAsia="zh-CN"/>
        </w:rPr>
        <w:t>P</w:t>
      </w:r>
      <w:r>
        <w:rPr>
          <w:lang w:val="en-US" w:eastAsia="zh-CN"/>
        </w:rPr>
        <w:t>erformance analysis</w:t>
      </w:r>
    </w:p>
    <w:p>
      <w:pPr>
        <w:pStyle w:val="29"/>
        <w:numPr>
          <w:ilvl w:val="2"/>
          <w:numId w:val="10"/>
        </w:numPr>
        <w:tabs>
          <w:tab w:val="clear" w:pos="1260"/>
        </w:tabs>
        <w:spacing w:before="120" w:after="120"/>
        <w:ind w:left="1678"/>
      </w:pPr>
      <w:r>
        <w:rPr>
          <w:rFonts w:hint="eastAsia"/>
        </w:rPr>
        <w:t xml:space="preserve">The SSB-less </w:t>
      </w:r>
      <w:r>
        <w:rPr>
          <w:rFonts w:hint="eastAsia"/>
          <w:lang w:val="en-US" w:eastAsia="zh-CN"/>
        </w:rPr>
        <w:t>and SIB-less</w:t>
      </w:r>
      <w:r>
        <w:rPr>
          <w:rFonts w:hint="eastAsia"/>
        </w:rPr>
        <w:t xml:space="preserve"> scheme can obtain </w:t>
      </w:r>
      <w:r>
        <w:t>5%~</w:t>
      </w:r>
      <w:r>
        <w:rPr>
          <w:lang w:val="en-US" w:eastAsia="zh-CN"/>
        </w:rPr>
        <w:t>14.8</w:t>
      </w:r>
      <w:r>
        <w:t>%</w:t>
      </w:r>
      <w:r>
        <w:rPr>
          <w:lang w:bidi="ar"/>
        </w:rPr>
        <w:t xml:space="preserve"> energy saving gain in the cases of RU=</w:t>
      </w:r>
      <w:r>
        <w:rPr>
          <w:lang w:val="en-US" w:eastAsia="zh-CN"/>
        </w:rPr>
        <w:t>5</w:t>
      </w:r>
      <w:r>
        <w:t>%~</w:t>
      </w:r>
      <w:r>
        <w:rPr>
          <w:lang w:val="en-US" w:eastAsia="zh-CN"/>
        </w:rPr>
        <w:t>25</w:t>
      </w:r>
      <w:r>
        <w:t>%</w:t>
      </w:r>
      <w:r>
        <w:rPr>
          <w:lang w:val="en-US" w:eastAsia="zh-CN"/>
        </w:rPr>
        <w:t xml:space="preserve"> for TDD and 9.4%~26.4% energy saving gain in the case of RU=5%~15% for FDD.</w:t>
      </w:r>
    </w:p>
    <w:p>
      <w:pPr>
        <w:pStyle w:val="29"/>
        <w:numPr>
          <w:ilvl w:val="1"/>
          <w:numId w:val="10"/>
        </w:numPr>
        <w:tabs>
          <w:tab w:val="clear" w:pos="840"/>
        </w:tabs>
        <w:spacing w:before="120" w:after="120"/>
        <w:ind w:left="1260"/>
      </w:pPr>
      <w:r>
        <w:rPr>
          <w:rFonts w:hint="eastAsia"/>
          <w:lang w:val="en-US" w:eastAsia="zh-CN"/>
        </w:rPr>
        <w:t xml:space="preserve">Specification </w:t>
      </w:r>
      <w:r>
        <w:rPr>
          <w:rFonts w:hint="eastAsia"/>
        </w:rPr>
        <w:t xml:space="preserve">impact </w:t>
      </w:r>
      <w:r>
        <w:rPr>
          <w:rFonts w:hint="eastAsia"/>
          <w:lang w:val="en-US" w:eastAsia="zh-CN"/>
        </w:rPr>
        <w:t>may include</w:t>
      </w:r>
    </w:p>
    <w:p>
      <w:pPr>
        <w:pStyle w:val="29"/>
        <w:numPr>
          <w:ilvl w:val="2"/>
          <w:numId w:val="10"/>
        </w:numPr>
        <w:tabs>
          <w:tab w:val="clear" w:pos="1260"/>
        </w:tabs>
        <w:spacing w:before="120" w:after="120"/>
        <w:ind w:left="1680"/>
      </w:pPr>
      <w:r>
        <w:rPr>
          <w:lang w:val="en-US" w:eastAsia="zh-CN"/>
        </w:rPr>
        <w:t>UEs obtain SIB from an assistant cell.</w:t>
      </w:r>
    </w:p>
    <w:p>
      <w:pPr>
        <w:pStyle w:val="29"/>
        <w:numPr>
          <w:ilvl w:val="2"/>
          <w:numId w:val="10"/>
        </w:numPr>
        <w:tabs>
          <w:tab w:val="clear" w:pos="1260"/>
        </w:tabs>
        <w:spacing w:before="120" w:after="120"/>
        <w:ind w:left="1680"/>
      </w:pPr>
      <w:r>
        <w:rPr>
          <w:lang w:val="en-US" w:eastAsia="zh-CN"/>
        </w:rPr>
        <w:t xml:space="preserve">The impact </w:t>
      </w:r>
      <w:r>
        <w:rPr>
          <w:rFonts w:hint="eastAsia"/>
          <w:lang w:val="en-US" w:eastAsia="zh-CN"/>
        </w:rPr>
        <w:t>of common signal reduction (e.g. SSB, SIB) on uplink transmission (e.g. PRACH).</w:t>
      </w:r>
    </w:p>
    <w:p>
      <w:pPr>
        <w:pStyle w:val="29"/>
        <w:numPr>
          <w:ilvl w:val="2"/>
          <w:numId w:val="10"/>
        </w:numPr>
        <w:tabs>
          <w:tab w:val="clear" w:pos="1260"/>
        </w:tabs>
        <w:spacing w:before="120" w:after="120"/>
        <w:ind w:left="1680"/>
      </w:pPr>
      <w:r>
        <w:rPr>
          <w:lang w:val="en-US" w:eastAsia="zh-CN"/>
        </w:rPr>
        <w:t>An uplink WUS sent by UE for DL common signal/channel (e.g., SIB</w:t>
      </w:r>
      <w:r>
        <w:rPr>
          <w:rFonts w:hint="eastAsia"/>
          <w:lang w:val="en-US" w:eastAsia="zh-CN"/>
        </w:rPr>
        <w:t>/SSB</w:t>
      </w:r>
      <w:r>
        <w:rPr>
          <w:lang w:val="en-US" w:eastAsia="zh-CN"/>
        </w:rPr>
        <w:t>) adaption or cell activation operation.</w:t>
      </w:r>
    </w:p>
    <w:p>
      <w:pPr>
        <w:pStyle w:val="12"/>
        <w:tabs>
          <w:tab w:val="right" w:leader="dot" w:pos="9660"/>
          <w:tab w:val="clear" w:pos="0"/>
        </w:tabs>
        <w:spacing w:before="120" w:after="120"/>
      </w:pPr>
      <w:r>
        <w:fldChar w:fldCharType="begin"/>
      </w:r>
      <w:r>
        <w:instrText xml:space="preserve"> HYPERLINK \l "_Toc24668" </w:instrText>
      </w:r>
      <w:r>
        <w:fldChar w:fldCharType="separate"/>
      </w:r>
      <w:r>
        <w:rPr>
          <w:rFonts w:eastAsia="宋体"/>
          <w:iCs w:val="0"/>
          <w:szCs w:val="21"/>
        </w:rPr>
        <w:t xml:space="preserve">Proposal 7: </w:t>
      </w:r>
      <w:r>
        <w:rPr>
          <w:rFonts w:hint="eastAsia"/>
          <w:iCs w:val="0"/>
          <w:szCs w:val="21"/>
        </w:rPr>
        <w:t>SSB-less SCell should be supported for inter-band CA.</w:t>
      </w:r>
      <w:r>
        <w:rPr>
          <w:rFonts w:hint="eastAsia"/>
          <w:iCs w:val="0"/>
          <w:szCs w:val="21"/>
        </w:rPr>
        <w:fldChar w:fldCharType="end"/>
      </w:r>
    </w:p>
    <w:p>
      <w:pPr>
        <w:pStyle w:val="12"/>
        <w:tabs>
          <w:tab w:val="right" w:leader="dot" w:pos="9660"/>
          <w:tab w:val="clear" w:pos="0"/>
        </w:tabs>
        <w:spacing w:before="120" w:after="120"/>
      </w:pPr>
      <w:r>
        <w:fldChar w:fldCharType="begin"/>
      </w:r>
      <w:r>
        <w:instrText xml:space="preserve"> HYPERLINK \l "_Toc3012" </w:instrText>
      </w:r>
      <w:r>
        <w:fldChar w:fldCharType="separate"/>
      </w:r>
      <w:r>
        <w:rPr>
          <w:rFonts w:eastAsia="宋体"/>
          <w:iCs w:val="0"/>
          <w:szCs w:val="21"/>
        </w:rPr>
        <w:t xml:space="preserve">Proposal 8: </w:t>
      </w:r>
      <w:r>
        <w:rPr>
          <w:rFonts w:hint="eastAsia"/>
          <w:iCs w:val="0"/>
          <w:szCs w:val="21"/>
        </w:rPr>
        <w:t>Aperiodic TRS is triggered only when it is needed in the SCell activation process.</w:t>
      </w:r>
      <w:r>
        <w:rPr>
          <w:rFonts w:hint="eastAsia"/>
          <w:iCs w:val="0"/>
          <w:szCs w:val="21"/>
        </w:rPr>
        <w:fldChar w:fldCharType="end"/>
      </w:r>
    </w:p>
    <w:p>
      <w:pPr>
        <w:pStyle w:val="12"/>
        <w:tabs>
          <w:tab w:val="right" w:leader="dot" w:pos="9660"/>
          <w:tab w:val="clear" w:pos="0"/>
        </w:tabs>
        <w:spacing w:before="120" w:after="120"/>
      </w:pPr>
      <w:r>
        <w:fldChar w:fldCharType="begin"/>
      </w:r>
      <w:r>
        <w:instrText xml:space="preserve"> HYPERLINK \l "_Toc21070" </w:instrText>
      </w:r>
      <w:r>
        <w:fldChar w:fldCharType="separate"/>
      </w:r>
      <w:r>
        <w:rPr>
          <w:rFonts w:eastAsia="宋体"/>
          <w:iCs w:val="0"/>
          <w:szCs w:val="21"/>
        </w:rPr>
        <w:t xml:space="preserve">Proposal 9: </w:t>
      </w:r>
      <w:r>
        <w:rPr>
          <w:iCs w:val="0"/>
          <w:szCs w:val="21"/>
        </w:rPr>
        <w:t xml:space="preserve">An uplink wake-up mechanism (WUS) can be considered </w:t>
      </w:r>
      <w:r>
        <w:rPr>
          <w:rFonts w:hint="eastAsia"/>
          <w:iCs w:val="0"/>
          <w:szCs w:val="21"/>
        </w:rPr>
        <w:t>to</w:t>
      </w:r>
      <w:r>
        <w:rPr>
          <w:rFonts w:hint="eastAsia"/>
          <w:szCs w:val="21"/>
        </w:rPr>
        <w:t xml:space="preserve"> </w:t>
      </w:r>
      <w:r>
        <w:rPr>
          <w:iCs w:val="0"/>
          <w:szCs w:val="21"/>
        </w:rPr>
        <w:t>trigger on-demand RS/SSB transmission in SSB-less SCell</w:t>
      </w:r>
      <w:r>
        <w:rPr>
          <w:iCs w:val="0"/>
          <w:szCs w:val="21"/>
        </w:rPr>
        <w:fldChar w:fldCharType="end"/>
      </w:r>
    </w:p>
    <w:p>
      <w:pPr>
        <w:pStyle w:val="12"/>
        <w:tabs>
          <w:tab w:val="right" w:leader="dot" w:pos="9660"/>
          <w:tab w:val="clear" w:pos="0"/>
        </w:tabs>
        <w:spacing w:before="120" w:after="120"/>
      </w:pPr>
      <w:r>
        <w:fldChar w:fldCharType="begin"/>
      </w:r>
      <w:r>
        <w:instrText xml:space="preserve"> HYPERLINK \l "_Toc6684" </w:instrText>
      </w:r>
      <w:r>
        <w:fldChar w:fldCharType="separate"/>
      </w:r>
      <w:r>
        <w:rPr>
          <w:rFonts w:eastAsia="宋体"/>
          <w:iCs w:val="0"/>
          <w:szCs w:val="21"/>
        </w:rPr>
        <w:t xml:space="preserve">Proposal 10: </w:t>
      </w:r>
      <w:r>
        <w:rPr>
          <w:rFonts w:hint="eastAsia"/>
          <w:szCs w:val="21"/>
        </w:rPr>
        <w:t xml:space="preserve">Capture the following description of </w:t>
      </w:r>
      <w:r>
        <w:rPr>
          <w:rFonts w:hint="eastAsia"/>
          <w:iCs w:val="0"/>
          <w:szCs w:val="21"/>
        </w:rPr>
        <w:t>SSB-less for inter-band CA</w:t>
      </w:r>
      <w:r>
        <w:rPr>
          <w:iCs w:val="0"/>
          <w:szCs w:val="21"/>
        </w:rPr>
        <w:t xml:space="preserve"> </w:t>
      </w:r>
      <w:r>
        <w:rPr>
          <w:rFonts w:hint="eastAsia"/>
          <w:szCs w:val="21"/>
        </w:rPr>
        <w:t>in TR</w:t>
      </w:r>
      <w:r>
        <w:rPr>
          <w:rFonts w:hint="eastAsia"/>
          <w:iCs w:val="0"/>
          <w:szCs w:val="21"/>
        </w:rPr>
        <w:t>.</w:t>
      </w:r>
      <w:r>
        <w:rPr>
          <w:rFonts w:hint="eastAsia"/>
          <w:iCs w:val="0"/>
          <w:szCs w:val="21"/>
        </w:rPr>
        <w:fldChar w:fldCharType="end"/>
      </w:r>
    </w:p>
    <w:p>
      <w:pPr>
        <w:pStyle w:val="29"/>
        <w:numPr>
          <w:ilvl w:val="0"/>
          <w:numId w:val="10"/>
        </w:numPr>
        <w:spacing w:before="120" w:after="120"/>
        <w:ind w:left="420" w:leftChars="200"/>
      </w:pPr>
      <w:r>
        <w:rPr>
          <w:rFonts w:hint="eastAsia"/>
          <w:lang w:val="en-US" w:eastAsia="zh-CN"/>
        </w:rPr>
        <w:t xml:space="preserve">SSB-less SCell for inter-band CA implemented by configuring one or more SSB-less SCell for UEs. </w:t>
      </w:r>
    </w:p>
    <w:p>
      <w:pPr>
        <w:pStyle w:val="29"/>
        <w:numPr>
          <w:ilvl w:val="1"/>
          <w:numId w:val="10"/>
        </w:numPr>
        <w:tabs>
          <w:tab w:val="clear" w:pos="840"/>
        </w:tabs>
        <w:spacing w:before="120" w:after="120"/>
        <w:ind w:left="1260"/>
        <w:rPr>
          <w:lang w:val="en-US" w:eastAsia="zh-CN"/>
        </w:rPr>
      </w:pPr>
      <w:r>
        <w:rPr>
          <w:rFonts w:hint="eastAsia"/>
          <w:lang w:val="en-US" w:eastAsia="zh-CN"/>
        </w:rPr>
        <w:t>P</w:t>
      </w:r>
      <w:r>
        <w:rPr>
          <w:lang w:val="en-US" w:eastAsia="zh-CN"/>
        </w:rPr>
        <w:t>erformance analysis</w:t>
      </w:r>
    </w:p>
    <w:p>
      <w:pPr>
        <w:pStyle w:val="29"/>
        <w:numPr>
          <w:ilvl w:val="2"/>
          <w:numId w:val="10"/>
        </w:numPr>
        <w:tabs>
          <w:tab w:val="clear" w:pos="1260"/>
        </w:tabs>
        <w:spacing w:before="120" w:after="120"/>
        <w:ind w:left="1680"/>
      </w:pPr>
      <w:r>
        <w:rPr>
          <w:rFonts w:hint="eastAsia"/>
        </w:rPr>
        <w:t xml:space="preserve">The SSB-less SCell scheme can obtain </w:t>
      </w:r>
      <w:r>
        <w:t>5%~</w:t>
      </w:r>
      <w:r>
        <w:rPr>
          <w:lang w:val="en-US" w:eastAsia="zh-CN"/>
        </w:rPr>
        <w:t>14.8</w:t>
      </w:r>
      <w:r>
        <w:t>%</w:t>
      </w:r>
      <w:r>
        <w:rPr>
          <w:lang w:bidi="ar"/>
        </w:rPr>
        <w:t xml:space="preserve"> energy saving gain in the cases of RU=</w:t>
      </w:r>
      <w:r>
        <w:rPr>
          <w:lang w:val="en-US" w:eastAsia="zh-CN"/>
        </w:rPr>
        <w:t>5</w:t>
      </w:r>
      <w:r>
        <w:t>%~</w:t>
      </w:r>
      <w:r>
        <w:rPr>
          <w:lang w:val="en-US" w:eastAsia="zh-CN"/>
        </w:rPr>
        <w:t>25</w:t>
      </w:r>
      <w:r>
        <w:t>%</w:t>
      </w:r>
      <w:r>
        <w:rPr>
          <w:lang w:val="en-US" w:eastAsia="zh-CN"/>
        </w:rPr>
        <w:t xml:space="preserve"> for TDD and 9.4%~26.4% energy saving gain in the case of RU=5%~15% for FDD.</w:t>
      </w:r>
    </w:p>
    <w:p>
      <w:pPr>
        <w:pStyle w:val="29"/>
        <w:numPr>
          <w:ilvl w:val="1"/>
          <w:numId w:val="10"/>
        </w:numPr>
        <w:tabs>
          <w:tab w:val="clear" w:pos="840"/>
        </w:tabs>
        <w:spacing w:before="120" w:after="120"/>
        <w:ind w:left="1260"/>
      </w:pPr>
      <w:r>
        <w:rPr>
          <w:rFonts w:hint="eastAsia"/>
          <w:lang w:val="en-US" w:eastAsia="zh-CN"/>
        </w:rPr>
        <w:t xml:space="preserve">Specification </w:t>
      </w:r>
      <w:r>
        <w:rPr>
          <w:rFonts w:hint="eastAsia"/>
        </w:rPr>
        <w:t xml:space="preserve">impact </w:t>
      </w:r>
      <w:r>
        <w:rPr>
          <w:rFonts w:hint="eastAsia"/>
          <w:lang w:val="en-US" w:eastAsia="zh-CN"/>
        </w:rPr>
        <w:t>may include</w:t>
      </w:r>
    </w:p>
    <w:p>
      <w:pPr>
        <w:pStyle w:val="29"/>
        <w:numPr>
          <w:ilvl w:val="2"/>
          <w:numId w:val="10"/>
        </w:numPr>
        <w:tabs>
          <w:tab w:val="clear" w:pos="1260"/>
        </w:tabs>
        <w:spacing w:before="120" w:after="120"/>
        <w:ind w:left="1680"/>
        <w:rPr>
          <w:lang w:val="en-US" w:eastAsia="zh-CN"/>
        </w:rPr>
      </w:pPr>
      <w:r>
        <w:rPr>
          <w:lang w:val="en-US" w:eastAsia="zh-CN"/>
        </w:rPr>
        <w:t>U</w:t>
      </w:r>
      <w:r>
        <w:rPr>
          <w:rFonts w:hint="eastAsia"/>
          <w:lang w:val="en-US" w:eastAsia="zh-CN"/>
        </w:rPr>
        <w:t xml:space="preserve">plink WUS </w:t>
      </w:r>
      <w:r>
        <w:rPr>
          <w:lang w:val="en-US" w:eastAsia="zh-CN"/>
        </w:rPr>
        <w:t xml:space="preserve">to trigger on-demand </w:t>
      </w:r>
      <w:r>
        <w:rPr>
          <w:rFonts w:hint="eastAsia"/>
          <w:lang w:val="en-US" w:eastAsia="zh-CN"/>
        </w:rPr>
        <w:t>RS</w:t>
      </w:r>
      <w:r>
        <w:rPr>
          <w:lang w:val="en-US" w:eastAsia="zh-CN"/>
        </w:rPr>
        <w:t xml:space="preserve"> </w:t>
      </w:r>
      <w:r>
        <w:rPr>
          <w:rFonts w:hint="eastAsia"/>
          <w:lang w:val="en-US" w:eastAsia="zh-CN"/>
        </w:rPr>
        <w:t>to reduce the impact of SSB-less SCell on user experience.</w:t>
      </w:r>
    </w:p>
    <w:p>
      <w:pPr>
        <w:pStyle w:val="29"/>
        <w:numPr>
          <w:ilvl w:val="2"/>
          <w:numId w:val="10"/>
        </w:numPr>
        <w:tabs>
          <w:tab w:val="clear" w:pos="1260"/>
        </w:tabs>
        <w:spacing w:before="120" w:after="120"/>
        <w:ind w:left="1680"/>
      </w:pPr>
      <w:r>
        <w:rPr>
          <w:lang w:val="en-US" w:eastAsia="zh-CN"/>
        </w:rPr>
        <w:t>A</w:t>
      </w:r>
      <w:r>
        <w:rPr>
          <w:rFonts w:hint="eastAsia"/>
          <w:lang w:val="en-US" w:eastAsia="zh-CN"/>
        </w:rPr>
        <w:t>periodic TRS triggered</w:t>
      </w:r>
      <w:r>
        <w:rPr>
          <w:lang w:val="en-US" w:eastAsia="zh-CN"/>
        </w:rPr>
        <w:t xml:space="preserve"> </w:t>
      </w:r>
      <w:r>
        <w:rPr>
          <w:rFonts w:hint="eastAsia"/>
          <w:lang w:val="en-US" w:eastAsia="zh-CN"/>
        </w:rPr>
        <w:t>by SCell activation.</w:t>
      </w:r>
    </w:p>
    <w:p>
      <w:pPr>
        <w:pStyle w:val="12"/>
        <w:tabs>
          <w:tab w:val="right" w:leader="dot" w:pos="9660"/>
          <w:tab w:val="clear" w:pos="0"/>
        </w:tabs>
        <w:spacing w:before="120" w:after="120"/>
      </w:pPr>
      <w:r>
        <w:fldChar w:fldCharType="begin"/>
      </w:r>
      <w:r>
        <w:instrText xml:space="preserve"> HYPERLINK \l "_Toc895" </w:instrText>
      </w:r>
      <w:r>
        <w:fldChar w:fldCharType="separate"/>
      </w:r>
      <w:r>
        <w:rPr>
          <w:rFonts w:eastAsia="宋体"/>
          <w:iCs w:val="0"/>
          <w:szCs w:val="21"/>
        </w:rPr>
        <w:t xml:space="preserve">Proposal 11: </w:t>
      </w:r>
      <w:r>
        <w:rPr>
          <w:szCs w:val="21"/>
        </w:rPr>
        <w:t>The spatial domain adaptation with TxRU activation/de-activation should be supported for network energy saving.</w:t>
      </w:r>
      <w:r>
        <w:rPr>
          <w:szCs w:val="21"/>
        </w:rPr>
        <w:fldChar w:fldCharType="end"/>
      </w:r>
    </w:p>
    <w:p>
      <w:pPr>
        <w:pStyle w:val="12"/>
        <w:tabs>
          <w:tab w:val="right" w:leader="dot" w:pos="9660"/>
          <w:tab w:val="clear" w:pos="0"/>
        </w:tabs>
        <w:spacing w:before="120" w:after="120"/>
      </w:pPr>
      <w:r>
        <w:fldChar w:fldCharType="begin"/>
      </w:r>
      <w:r>
        <w:instrText xml:space="preserve"> HYPERLINK \l "_Toc8291" </w:instrText>
      </w:r>
      <w:r>
        <w:fldChar w:fldCharType="separate"/>
      </w:r>
      <w:r>
        <w:rPr>
          <w:rFonts w:eastAsia="宋体"/>
          <w:iCs w:val="0"/>
          <w:szCs w:val="21"/>
        </w:rPr>
        <w:t xml:space="preserve">Proposal 12: </w:t>
      </w:r>
      <w:r>
        <w:rPr>
          <w:szCs w:val="21"/>
        </w:rPr>
        <w:t>Dynamic indication of CSI-RS re-configuration via DCI or MAC CE for spatial domain adaptation should be supported.</w:t>
      </w:r>
      <w:r>
        <w:rPr>
          <w:szCs w:val="21"/>
        </w:rPr>
        <w:fldChar w:fldCharType="end"/>
      </w:r>
    </w:p>
    <w:p>
      <w:pPr>
        <w:pStyle w:val="12"/>
        <w:tabs>
          <w:tab w:val="right" w:leader="dot" w:pos="9660"/>
          <w:tab w:val="clear" w:pos="0"/>
        </w:tabs>
        <w:spacing w:before="120" w:after="120"/>
      </w:pPr>
      <w:r>
        <w:fldChar w:fldCharType="begin"/>
      </w:r>
      <w:r>
        <w:instrText xml:space="preserve"> HYPERLINK \l "_Toc891" </w:instrText>
      </w:r>
      <w:r>
        <w:fldChar w:fldCharType="separate"/>
      </w:r>
      <w:r>
        <w:rPr>
          <w:rFonts w:eastAsia="宋体"/>
          <w:iCs w:val="0"/>
          <w:szCs w:val="21"/>
        </w:rPr>
        <w:t xml:space="preserve">Proposal 13: </w:t>
      </w:r>
      <w:r>
        <w:rPr>
          <w:szCs w:val="21"/>
        </w:rPr>
        <w:t>The enhancement on CSI measurement/report or UE assistance information should be considered for spatial domain adaptation.</w:t>
      </w:r>
      <w:r>
        <w:rPr>
          <w:szCs w:val="21"/>
        </w:rPr>
        <w:fldChar w:fldCharType="end"/>
      </w:r>
    </w:p>
    <w:p>
      <w:pPr>
        <w:pStyle w:val="12"/>
        <w:tabs>
          <w:tab w:val="right" w:leader="dot" w:pos="9660"/>
          <w:tab w:val="clear" w:pos="0"/>
        </w:tabs>
        <w:spacing w:before="120" w:after="120"/>
      </w:pPr>
      <w:r>
        <w:fldChar w:fldCharType="begin"/>
      </w:r>
      <w:r>
        <w:instrText xml:space="preserve"> HYPERLINK \l "_Toc32284" </w:instrText>
      </w:r>
      <w:r>
        <w:fldChar w:fldCharType="separate"/>
      </w:r>
      <w:r>
        <w:rPr>
          <w:rFonts w:eastAsia="宋体"/>
          <w:iCs w:val="0"/>
          <w:szCs w:val="21"/>
        </w:rPr>
        <w:t xml:space="preserve">Proposal 14: </w:t>
      </w:r>
      <w:r>
        <w:rPr>
          <w:rFonts w:hint="eastAsia"/>
          <w:szCs w:val="21"/>
        </w:rPr>
        <w:t>Capture the following description of dynamic adaptation of spatial elements</w:t>
      </w:r>
      <w:r>
        <w:rPr>
          <w:rFonts w:hint="eastAsia"/>
          <w:szCs w:val="21"/>
        </w:rPr>
        <w:fldChar w:fldCharType="end"/>
      </w:r>
      <w:r>
        <w:rPr>
          <w:szCs w:val="21"/>
        </w:rPr>
        <w:t xml:space="preserve"> </w:t>
      </w:r>
      <w:r>
        <w:rPr>
          <w:rFonts w:hint="eastAsia"/>
          <w:szCs w:val="21"/>
        </w:rPr>
        <w:t>in TR</w:t>
      </w:r>
    </w:p>
    <w:p>
      <w:pPr>
        <w:pStyle w:val="29"/>
        <w:numPr>
          <w:ilvl w:val="1"/>
          <w:numId w:val="3"/>
        </w:numPr>
        <w:tabs>
          <w:tab w:val="clear" w:pos="840"/>
        </w:tabs>
        <w:spacing w:before="120" w:after="120"/>
        <w:rPr>
          <w:lang w:val="en-US" w:eastAsia="zh-CN"/>
        </w:rPr>
      </w:pPr>
      <w:r>
        <w:rPr>
          <w:rFonts w:hint="eastAsia"/>
          <w:lang w:val="en-US" w:eastAsia="zh-CN"/>
        </w:rPr>
        <w:t>Adaptation can be further categorized into two types:</w:t>
      </w:r>
    </w:p>
    <w:p>
      <w:pPr>
        <w:pStyle w:val="29"/>
        <w:numPr>
          <w:ilvl w:val="0"/>
          <w:numId w:val="17"/>
        </w:numPr>
        <w:tabs>
          <w:tab w:val="left" w:pos="840"/>
        </w:tabs>
        <w:spacing w:before="120" w:after="120"/>
        <w:rPr>
          <w:lang w:val="en-US" w:eastAsia="zh-CN"/>
        </w:rPr>
      </w:pPr>
      <w:r>
        <w:rPr>
          <w:rFonts w:hint="eastAsia"/>
          <w:lang w:val="en-US" w:eastAsia="zh-CN"/>
        </w:rPr>
        <w:t>Type 1: enable/disable all spatial elements associated to a logical antenna port, e.g. a subset of ports of a CSI-RS resource.</w:t>
      </w:r>
    </w:p>
    <w:p>
      <w:pPr>
        <w:pStyle w:val="29"/>
        <w:numPr>
          <w:ilvl w:val="0"/>
          <w:numId w:val="17"/>
        </w:numPr>
        <w:tabs>
          <w:tab w:val="left" w:pos="840"/>
        </w:tabs>
        <w:spacing w:before="120" w:after="120"/>
        <w:rPr>
          <w:lang w:val="en-US" w:eastAsia="zh-CN"/>
        </w:rPr>
      </w:pPr>
      <w:r>
        <w:rPr>
          <w:rFonts w:hint="eastAsia"/>
          <w:lang w:val="en-US" w:eastAsia="zh-CN"/>
        </w:rPr>
        <w:t>Type 2: enable/disable of part of spatial elements associated to a logical antenna port(s).</w:t>
      </w:r>
    </w:p>
    <w:p>
      <w:pPr>
        <w:pStyle w:val="29"/>
        <w:numPr>
          <w:ilvl w:val="1"/>
          <w:numId w:val="3"/>
        </w:numPr>
        <w:tabs>
          <w:tab w:val="clear" w:pos="840"/>
        </w:tabs>
        <w:spacing w:before="120" w:after="120"/>
        <w:rPr>
          <w:lang w:val="en-US" w:eastAsia="zh-CN"/>
        </w:rPr>
      </w:pPr>
      <w:r>
        <w:rPr>
          <w:rFonts w:hint="eastAsia"/>
          <w:lang w:val="en-US" w:eastAsia="zh-CN"/>
        </w:rPr>
        <w:t xml:space="preserve">UE should be informed an information about the adaptation from gNB via DCI or MAC CE, and perform CSI measurements and reporting according to the </w:t>
      </w:r>
      <w:r>
        <w:rPr>
          <w:lang w:val="en-US" w:eastAsia="zh-CN"/>
        </w:rPr>
        <w:t>indication</w:t>
      </w:r>
      <w:r>
        <w:rPr>
          <w:rFonts w:hint="eastAsia"/>
          <w:lang w:val="en-US" w:eastAsia="zh-CN"/>
        </w:rPr>
        <w:t>.</w:t>
      </w:r>
    </w:p>
    <w:p>
      <w:pPr>
        <w:pStyle w:val="29"/>
        <w:numPr>
          <w:ilvl w:val="0"/>
          <w:numId w:val="18"/>
        </w:numPr>
        <w:tabs>
          <w:tab w:val="left" w:pos="840"/>
        </w:tabs>
        <w:spacing w:before="120" w:after="12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The </w:t>
      </w:r>
      <w:r>
        <w:rPr>
          <w:lang w:val="en-US" w:eastAsia="zh-CN"/>
        </w:rPr>
        <w:t>indication</w:t>
      </w:r>
      <w:r>
        <w:rPr>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include</w:t>
      </w:r>
      <w:r>
        <w:rPr>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e.g., CSI-RS/reporting re-configuration information.</w:t>
      </w:r>
      <w:r>
        <w:rPr>
          <w:color w:val="000000" w:themeColor="text1"/>
          <w:lang w:val="en-US" w:eastAsia="zh-CN"/>
          <w14:textFill>
            <w14:solidFill>
              <w14:schemeClr w14:val="tx1"/>
            </w14:solidFill>
          </w14:textFill>
        </w:rPr>
        <w:t xml:space="preserve"> It can be </w:t>
      </w:r>
      <w:r>
        <w:rPr>
          <w:rFonts w:hint="eastAsia"/>
          <w:color w:val="000000" w:themeColor="text1"/>
          <w:lang w:val="en-US" w:eastAsia="zh-CN"/>
          <w14:textFill>
            <w14:solidFill>
              <w14:schemeClr w14:val="tx1"/>
            </w14:solidFill>
          </w14:textFill>
        </w:rPr>
        <w:t xml:space="preserve">different for different </w:t>
      </w:r>
      <w:r>
        <w:rPr>
          <w:lang w:val="en-US" w:eastAsia="zh-CN"/>
        </w:rPr>
        <w:t>a</w:t>
      </w:r>
      <w:r>
        <w:rPr>
          <w:rFonts w:hint="eastAsia"/>
          <w:lang w:val="en-US" w:eastAsia="zh-CN"/>
        </w:rPr>
        <w:t xml:space="preserve">daptation </w:t>
      </w:r>
      <w:r>
        <w:rPr>
          <w:rFonts w:hint="eastAsia"/>
          <w:color w:val="000000" w:themeColor="text1"/>
          <w:lang w:val="en-US" w:eastAsia="zh-CN"/>
          <w14:textFill>
            <w14:solidFill>
              <w14:schemeClr w14:val="tx1"/>
            </w14:solidFill>
          </w14:textFill>
        </w:rPr>
        <w:t>types.</w:t>
      </w:r>
    </w:p>
    <w:p>
      <w:pPr>
        <w:pStyle w:val="29"/>
        <w:numPr>
          <w:ilvl w:val="0"/>
          <w:numId w:val="18"/>
        </w:numPr>
        <w:tabs>
          <w:tab w:val="left" w:pos="840"/>
        </w:tabs>
        <w:spacing w:before="120" w:after="12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Specification impact may include enhancing CSI measurement and reporting procedures, e.g., dynamic indicat</w:t>
      </w:r>
      <w:r>
        <w:rPr>
          <w:color w:val="000000" w:themeColor="text1"/>
          <w:lang w:val="en-US" w:eastAsia="zh-CN"/>
          <w14:textFill>
            <w14:solidFill>
              <w14:schemeClr w14:val="tx1"/>
            </w14:solidFill>
          </w14:textFill>
        </w:rPr>
        <w:t>ion of</w:t>
      </w:r>
      <w:r>
        <w:rPr>
          <w:rFonts w:hint="eastAsia"/>
          <w:color w:val="000000" w:themeColor="text1"/>
          <w:lang w:val="en-US" w:eastAsia="zh-CN"/>
          <w14:textFill>
            <w14:solidFill>
              <w14:schemeClr w14:val="tx1"/>
            </w14:solidFill>
          </w14:textFill>
        </w:rPr>
        <w:t xml:space="preserve"> re-configuration of CSI-RS, CSI feedback update, transmission power of the reference signal or channel update, UE assistance information.</w:t>
      </w:r>
    </w:p>
    <w:p>
      <w:pPr>
        <w:pStyle w:val="12"/>
        <w:tabs>
          <w:tab w:val="right" w:leader="dot" w:pos="9660"/>
          <w:tab w:val="clear" w:pos="0"/>
        </w:tabs>
        <w:spacing w:before="120" w:after="120"/>
      </w:pPr>
      <w:r>
        <w:fldChar w:fldCharType="begin"/>
      </w:r>
      <w:r>
        <w:instrText xml:space="preserve"> HYPERLINK \l "_Toc20809" </w:instrText>
      </w:r>
      <w:r>
        <w:fldChar w:fldCharType="separate"/>
      </w:r>
      <w:r>
        <w:rPr>
          <w:rFonts w:eastAsia="宋体"/>
          <w:iCs w:val="0"/>
          <w:szCs w:val="21"/>
        </w:rPr>
        <w:t xml:space="preserve">Proposal 15: </w:t>
      </w:r>
      <w:r>
        <w:rPr>
          <w:iCs w:val="0"/>
          <w:szCs w:val="21"/>
        </w:rPr>
        <w:t xml:space="preserve">More dynamic DL power allocation </w:t>
      </w:r>
      <w:r>
        <w:rPr>
          <w:iCs w:val="0"/>
          <w:szCs w:val="21"/>
          <w:lang w:bidi="ar"/>
        </w:rPr>
        <w:t xml:space="preserve">and information reported by UE </w:t>
      </w:r>
      <w:r>
        <w:rPr>
          <w:iCs w:val="0"/>
          <w:szCs w:val="21"/>
        </w:rPr>
        <w:t>can be considered for NW ES in power domain.</w:t>
      </w:r>
      <w:r>
        <w:rPr>
          <w:iCs w:val="0"/>
          <w:szCs w:val="21"/>
        </w:rPr>
        <w:fldChar w:fldCharType="end"/>
      </w:r>
    </w:p>
    <w:p>
      <w:pPr>
        <w:pStyle w:val="12"/>
        <w:tabs>
          <w:tab w:val="right" w:leader="dot" w:pos="9660"/>
          <w:tab w:val="clear" w:pos="0"/>
        </w:tabs>
        <w:spacing w:before="120" w:after="120"/>
      </w:pPr>
      <w:r>
        <w:fldChar w:fldCharType="begin"/>
      </w:r>
      <w:r>
        <w:instrText xml:space="preserve"> HYPERLINK \l "_Toc15898" </w:instrText>
      </w:r>
      <w:r>
        <w:fldChar w:fldCharType="separate"/>
      </w:r>
      <w:r>
        <w:rPr>
          <w:rFonts w:eastAsia="宋体"/>
          <w:iCs w:val="0"/>
          <w:szCs w:val="21"/>
          <w:lang w:bidi="ar"/>
        </w:rPr>
        <w:t xml:space="preserve">Proposal 16: </w:t>
      </w:r>
      <w:r>
        <w:rPr>
          <w:rFonts w:hint="eastAsia"/>
          <w:iCs w:val="0"/>
          <w:szCs w:val="21"/>
        </w:rPr>
        <w:t>D</w:t>
      </w:r>
      <w:r>
        <w:rPr>
          <w:iCs w:val="0"/>
          <w:szCs w:val="21"/>
        </w:rPr>
        <w:t xml:space="preserve">ynamic DL power </w:t>
      </w:r>
      <w:r>
        <w:rPr>
          <w:iCs w:val="0"/>
          <w:szCs w:val="21"/>
          <w:lang w:bidi="ar"/>
        </w:rPr>
        <w:t xml:space="preserve">control for reference signal can </w:t>
      </w:r>
      <w:r>
        <w:rPr>
          <w:iCs w:val="0"/>
          <w:szCs w:val="21"/>
        </w:rPr>
        <w:t>be considered for NW ES in power domain.</w:t>
      </w:r>
      <w:r>
        <w:rPr>
          <w:iCs w:val="0"/>
          <w:szCs w:val="21"/>
        </w:rPr>
        <w:fldChar w:fldCharType="end"/>
      </w:r>
    </w:p>
    <w:p>
      <w:pPr>
        <w:pStyle w:val="12"/>
        <w:tabs>
          <w:tab w:val="right" w:leader="dot" w:pos="9660"/>
          <w:tab w:val="clear" w:pos="0"/>
        </w:tabs>
        <w:spacing w:before="120" w:after="120"/>
      </w:pPr>
      <w:r>
        <w:fldChar w:fldCharType="begin"/>
      </w:r>
      <w:r>
        <w:instrText xml:space="preserve"> HYPERLINK \l "_Toc15165" </w:instrText>
      </w:r>
      <w:r>
        <w:fldChar w:fldCharType="separate"/>
      </w:r>
      <w:r>
        <w:rPr>
          <w:rFonts w:eastAsia="宋体"/>
          <w:iCs w:val="0"/>
          <w:szCs w:val="21"/>
        </w:rPr>
        <w:t xml:space="preserve">Proposal 17: </w:t>
      </w:r>
      <w:r>
        <w:rPr>
          <w:rFonts w:hint="eastAsia"/>
          <w:szCs w:val="21"/>
        </w:rPr>
        <w:t xml:space="preserve">The following aspects for power domain </w:t>
      </w:r>
      <w:r>
        <w:rPr>
          <w:szCs w:val="21"/>
        </w:rPr>
        <w:t xml:space="preserve">adaptation </w:t>
      </w:r>
      <w:r>
        <w:rPr>
          <w:rFonts w:hint="eastAsia"/>
          <w:szCs w:val="21"/>
        </w:rPr>
        <w:t>techniques should be captured in the TR</w:t>
      </w:r>
      <w:r>
        <w:rPr>
          <w:rFonts w:hint="eastAsia"/>
          <w:szCs w:val="21"/>
        </w:rPr>
        <w:fldChar w:fldCharType="end"/>
      </w:r>
    </w:p>
    <w:p>
      <w:pPr>
        <w:pStyle w:val="29"/>
        <w:numPr>
          <w:ilvl w:val="0"/>
          <w:numId w:val="15"/>
        </w:numPr>
        <w:tabs>
          <w:tab w:val="clear" w:pos="-420"/>
        </w:tabs>
        <w:spacing w:before="120" w:after="120"/>
        <w:ind w:left="-420" w:firstLine="420"/>
        <w:rPr>
          <w:lang w:val="en-US" w:eastAsia="zh-CN"/>
        </w:rPr>
      </w:pPr>
      <w:r>
        <w:rPr>
          <w:lang w:val="en-US" w:eastAsia="zh-CN"/>
        </w:rPr>
        <w:t>F</w:t>
      </w:r>
      <w:r>
        <w:rPr>
          <w:rFonts w:hint="eastAsia"/>
          <w:lang w:val="en-US" w:eastAsia="zh-CN"/>
        </w:rPr>
        <w:t xml:space="preserve">eature description for adaptation of transmission power of </w:t>
      </w:r>
      <w:r>
        <w:rPr>
          <w:lang w:val="en-US" w:eastAsia="zh-CN"/>
        </w:rPr>
        <w:t xml:space="preserve">reference </w:t>
      </w:r>
      <w:r>
        <w:rPr>
          <w:rFonts w:hint="eastAsia"/>
          <w:lang w:val="en-US" w:eastAsia="zh-CN"/>
        </w:rPr>
        <w:t>signal</w:t>
      </w:r>
      <w:r>
        <w:rPr>
          <w:lang w:val="en-US" w:eastAsia="zh-CN"/>
        </w:rPr>
        <w:t>s/</w:t>
      </w:r>
      <w:r>
        <w:rPr>
          <w:rFonts w:hint="eastAsia"/>
          <w:lang w:val="en-US" w:eastAsia="zh-CN"/>
        </w:rPr>
        <w:t>channels</w:t>
      </w:r>
    </w:p>
    <w:p>
      <w:pPr>
        <w:pStyle w:val="29"/>
        <w:numPr>
          <w:ilvl w:val="0"/>
          <w:numId w:val="16"/>
        </w:numPr>
        <w:tabs>
          <w:tab w:val="clear" w:pos="420"/>
        </w:tabs>
        <w:spacing w:before="120" w:after="120"/>
        <w:rPr>
          <w:lang w:val="en-US" w:eastAsia="zh-CN"/>
        </w:rPr>
      </w:pPr>
      <w:r>
        <w:rPr>
          <w:lang w:val="en-US" w:eastAsia="zh-CN"/>
        </w:rPr>
        <w:t>D</w:t>
      </w:r>
      <w:r>
        <w:rPr>
          <w:rFonts w:hint="eastAsia"/>
          <w:lang w:val="en-US" w:eastAsia="zh-CN"/>
        </w:rPr>
        <w:t>ynamic power control, e.g., dynamically reducing the transmission power or PSD of signals and channels, e.g</w:t>
      </w:r>
      <w:r>
        <w:rPr>
          <w:lang w:val="en-US" w:eastAsia="zh-CN"/>
        </w:rPr>
        <w:t>.</w:t>
      </w:r>
      <w:r>
        <w:rPr>
          <w:rFonts w:hint="eastAsia"/>
          <w:lang w:val="en-US" w:eastAsia="zh-CN"/>
        </w:rPr>
        <w:t xml:space="preserve"> SSB, CSI-RS, PDSCH</w:t>
      </w:r>
    </w:p>
    <w:p>
      <w:pPr>
        <w:pStyle w:val="29"/>
        <w:numPr>
          <w:ilvl w:val="0"/>
          <w:numId w:val="16"/>
        </w:numPr>
        <w:tabs>
          <w:tab w:val="clear" w:pos="420"/>
        </w:tabs>
        <w:spacing w:before="120" w:after="120"/>
        <w:rPr>
          <w:lang w:val="en-US" w:eastAsia="zh-CN"/>
        </w:rPr>
      </w:pPr>
      <w:r>
        <w:rPr>
          <w:rFonts w:hint="eastAsia"/>
          <w:lang w:val="en-US" w:eastAsia="zh-CN"/>
        </w:rPr>
        <w:t>UE feedback/report power information, e.g</w:t>
      </w:r>
      <w:r>
        <w:rPr>
          <w:lang w:val="en-US" w:eastAsia="zh-CN"/>
        </w:rPr>
        <w:t>.</w:t>
      </w:r>
      <w:r>
        <w:rPr>
          <w:rFonts w:hint="eastAsia"/>
          <w:lang w:val="en-US" w:eastAsia="zh-CN"/>
        </w:rPr>
        <w:t>, CSI reporting, power adjustment indication, etc.</w:t>
      </w:r>
    </w:p>
    <w:p>
      <w:pPr>
        <w:pStyle w:val="29"/>
        <w:numPr>
          <w:ilvl w:val="0"/>
          <w:numId w:val="15"/>
        </w:numPr>
        <w:tabs>
          <w:tab w:val="clear" w:pos="-420"/>
        </w:tabs>
        <w:spacing w:before="120" w:after="120"/>
        <w:ind w:left="-420" w:firstLine="420"/>
        <w:rPr>
          <w:lang w:val="en-US" w:eastAsia="zh-CN"/>
        </w:rPr>
      </w:pPr>
      <w:r>
        <w:rPr>
          <w:lang w:val="en-US" w:eastAsia="zh-CN"/>
        </w:rPr>
        <w:t>P</w:t>
      </w:r>
      <w:r>
        <w:rPr>
          <w:rFonts w:hint="eastAsia"/>
          <w:lang w:val="en-US" w:eastAsia="zh-CN"/>
        </w:rPr>
        <w:t>erformance impacts:</w:t>
      </w:r>
    </w:p>
    <w:p>
      <w:pPr>
        <w:pStyle w:val="29"/>
        <w:numPr>
          <w:ilvl w:val="0"/>
          <w:numId w:val="16"/>
        </w:numPr>
        <w:tabs>
          <w:tab w:val="clear" w:pos="420"/>
        </w:tabs>
        <w:spacing w:before="120" w:after="120"/>
        <w:rPr>
          <w:lang w:val="en-US" w:eastAsia="zh-CN"/>
        </w:rPr>
      </w:pPr>
      <w:r>
        <w:t xml:space="preserve">Energy </w:t>
      </w:r>
      <w:r>
        <w:rPr>
          <w:rFonts w:hint="eastAsia"/>
          <w:lang w:val="en-US" w:eastAsia="zh-CN"/>
        </w:rPr>
        <w:t xml:space="preserve">saving gains, UPT loss, and other evaluation metrics by adaptation of transmission power </w:t>
      </w:r>
    </w:p>
    <w:p>
      <w:pPr>
        <w:pStyle w:val="29"/>
        <w:numPr>
          <w:ilvl w:val="0"/>
          <w:numId w:val="15"/>
        </w:numPr>
        <w:tabs>
          <w:tab w:val="clear" w:pos="-420"/>
        </w:tabs>
        <w:spacing w:before="120" w:after="120"/>
        <w:ind w:left="-420" w:firstLine="420"/>
        <w:rPr>
          <w:lang w:val="en-US" w:eastAsia="zh-CN"/>
        </w:rPr>
      </w:pPr>
      <w:r>
        <w:rPr>
          <w:lang w:val="en-US" w:eastAsia="zh-CN"/>
        </w:rPr>
        <w:t>S</w:t>
      </w:r>
      <w:r>
        <w:rPr>
          <w:rFonts w:hint="eastAsia"/>
          <w:lang w:val="en-US" w:eastAsia="zh-CN"/>
        </w:rPr>
        <w:t>pecification impacts:</w:t>
      </w:r>
    </w:p>
    <w:p>
      <w:pPr>
        <w:pStyle w:val="29"/>
        <w:numPr>
          <w:ilvl w:val="0"/>
          <w:numId w:val="16"/>
        </w:numPr>
        <w:tabs>
          <w:tab w:val="clear" w:pos="420"/>
        </w:tabs>
        <w:spacing w:before="120" w:after="120"/>
        <w:rPr>
          <w:lang w:val="en-US" w:eastAsia="zh-CN"/>
        </w:rPr>
      </w:pPr>
      <w:r>
        <w:rPr>
          <w:lang w:val="en-US" w:eastAsia="zh-CN"/>
        </w:rPr>
        <w:t>I</w:t>
      </w:r>
      <w:r>
        <w:rPr>
          <w:rFonts w:hint="eastAsia"/>
          <w:lang w:val="en-US" w:eastAsia="zh-CN"/>
        </w:rPr>
        <w:t xml:space="preserve">ndication </w:t>
      </w:r>
      <w:r>
        <w:rPr>
          <w:lang w:val="en-US" w:eastAsia="zh-CN"/>
        </w:rPr>
        <w:t xml:space="preserve">of </w:t>
      </w:r>
      <w:r>
        <w:rPr>
          <w:rFonts w:hint="eastAsia"/>
          <w:lang w:val="en-US" w:eastAsia="zh-CN"/>
        </w:rPr>
        <w:t xml:space="preserve">power adaptation, e.g., </w:t>
      </w:r>
      <w:r>
        <w:rPr>
          <w:lang w:val="en-US" w:eastAsia="zh-CN"/>
        </w:rPr>
        <w:t>via DCI or MAC CE</w:t>
      </w:r>
    </w:p>
    <w:p>
      <w:pPr>
        <w:pStyle w:val="29"/>
        <w:numPr>
          <w:ilvl w:val="0"/>
          <w:numId w:val="16"/>
        </w:numPr>
        <w:tabs>
          <w:tab w:val="clear" w:pos="420"/>
        </w:tabs>
        <w:spacing w:before="120" w:after="120"/>
        <w:rPr>
          <w:lang w:val="en-US" w:eastAsia="zh-CN"/>
        </w:rPr>
      </w:pPr>
      <w:r>
        <w:rPr>
          <w:rFonts w:hint="eastAsia"/>
          <w:lang w:val="en-US" w:eastAsia="zh-CN"/>
        </w:rPr>
        <w:t>UE feedback information, e.g</w:t>
      </w:r>
      <w:r>
        <w:rPr>
          <w:lang w:val="en-US" w:eastAsia="zh-CN"/>
        </w:rPr>
        <w:t>.</w:t>
      </w:r>
      <w:r>
        <w:rPr>
          <w:rFonts w:hint="eastAsia"/>
          <w:lang w:val="en-US" w:eastAsia="zh-CN"/>
        </w:rPr>
        <w:t>, CSI reporting, power adjustment indication</w:t>
      </w:r>
    </w:p>
    <w:p>
      <w:pPr>
        <w:pStyle w:val="29"/>
        <w:numPr>
          <w:ilvl w:val="0"/>
          <w:numId w:val="16"/>
        </w:numPr>
        <w:tabs>
          <w:tab w:val="clear" w:pos="420"/>
        </w:tabs>
        <w:spacing w:before="120" w:after="120"/>
        <w:rPr>
          <w:lang w:val="en-US" w:eastAsia="zh-CN"/>
        </w:rPr>
      </w:pPr>
      <w:r>
        <w:rPr>
          <w:rFonts w:hint="eastAsia"/>
          <w:lang w:val="en-US" w:eastAsia="zh-CN"/>
        </w:rPr>
        <w:t>Co-existence issue or any other spec impacts</w:t>
      </w:r>
    </w:p>
    <w:p>
      <w:pPr>
        <w:pStyle w:val="12"/>
        <w:tabs>
          <w:tab w:val="right" w:leader="dot" w:pos="9660"/>
          <w:tab w:val="clear" w:pos="0"/>
        </w:tabs>
        <w:spacing w:before="120" w:after="120"/>
      </w:pPr>
      <w:r>
        <w:fldChar w:fldCharType="begin"/>
      </w:r>
      <w:r>
        <w:instrText xml:space="preserve"> HYPERLINK \l "_Toc28278" </w:instrText>
      </w:r>
      <w:r>
        <w:fldChar w:fldCharType="separate"/>
      </w:r>
      <w:r>
        <w:rPr>
          <w:rFonts w:eastAsia="宋体"/>
          <w:iCs w:val="0"/>
          <w:szCs w:val="21"/>
        </w:rPr>
        <w:t xml:space="preserve">Proposal 18: </w:t>
      </w:r>
      <w:r>
        <w:rPr>
          <w:iCs w:val="0"/>
          <w:szCs w:val="21"/>
        </w:rPr>
        <w:t>The UE assistance information can be considered for network energy saving.</w:t>
      </w:r>
      <w:r>
        <w:rPr>
          <w:iCs w:val="0"/>
          <w:szCs w:val="21"/>
        </w:rPr>
        <w:fldChar w:fldCharType="end"/>
      </w:r>
    </w:p>
    <w:p>
      <w:pPr>
        <w:spacing w:before="120" w:after="120"/>
      </w:pPr>
      <w:r>
        <w:rPr>
          <w:szCs w:val="21"/>
        </w:rPr>
        <w:fldChar w:fldCharType="end"/>
      </w: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4"/>
        <w:spacing w:before="120" w:after="120"/>
        <w:ind w:left="363" w:hanging="363"/>
        <w:rPr>
          <w:szCs w:val="21"/>
        </w:rPr>
      </w:pPr>
      <w:bookmarkStart w:id="279" w:name="_Ref17466"/>
      <w:r>
        <w:rPr>
          <w:rFonts w:hint="eastAsia"/>
          <w:szCs w:val="21"/>
        </w:rPr>
        <w:t>Chair's notes RAN1#109-e, 2022-05</w:t>
      </w:r>
      <w:r>
        <w:rPr>
          <w:szCs w:val="21"/>
        </w:rPr>
        <w:t>.</w:t>
      </w:r>
    </w:p>
    <w:p>
      <w:pPr>
        <w:pStyle w:val="34"/>
        <w:spacing w:before="120" w:after="120"/>
        <w:ind w:left="363" w:hanging="363"/>
        <w:rPr>
          <w:rStyle w:val="22"/>
          <w:color w:val="auto"/>
          <w:szCs w:val="21"/>
        </w:rPr>
      </w:pPr>
      <w:r>
        <w:fldChar w:fldCharType="begin"/>
      </w:r>
      <w:r>
        <w:instrText xml:space="preserve"> HYPERLINK "file:///D:\\3GPP\\NW%20EnS\\Docs\\R1-2208185.zip" </w:instrText>
      </w:r>
      <w:r>
        <w:fldChar w:fldCharType="separate"/>
      </w:r>
      <w:r>
        <w:rPr>
          <w:rStyle w:val="22"/>
          <w:rFonts w:eastAsia="Malgun Gothic"/>
          <w:color w:val="auto"/>
          <w:szCs w:val="20"/>
          <w:u w:val="none"/>
          <w:lang w:eastAsia="ko-KR"/>
        </w:rPr>
        <w:t>R1-2208185</w:t>
      </w:r>
      <w:r>
        <w:rPr>
          <w:rStyle w:val="22"/>
          <w:rFonts w:eastAsia="Malgun Gothic"/>
          <w:color w:val="auto"/>
          <w:szCs w:val="20"/>
          <w:u w:val="none"/>
          <w:lang w:eastAsia="ko-KR"/>
        </w:rPr>
        <w:fldChar w:fldCharType="end"/>
      </w:r>
      <w:r>
        <w:rPr>
          <w:rStyle w:val="22"/>
          <w:rFonts w:hint="eastAsia"/>
          <w:color w:val="auto"/>
          <w:szCs w:val="20"/>
          <w:u w:val="none"/>
        </w:rPr>
        <w:t xml:space="preserve">. </w:t>
      </w:r>
      <w:r>
        <w:rPr>
          <w:rFonts w:hint="eastAsia"/>
          <w:szCs w:val="21"/>
        </w:rPr>
        <w:t>Discussion Summary #2 for energy saving techniques of NW energy saving SI. 202</w:t>
      </w:r>
      <w:r>
        <w:rPr>
          <w:rStyle w:val="22"/>
          <w:rFonts w:hint="eastAsia"/>
          <w:color w:val="auto"/>
          <w:szCs w:val="20"/>
          <w:u w:val="none"/>
        </w:rPr>
        <w:t>2-09.</w:t>
      </w:r>
    </w:p>
    <w:p>
      <w:pPr>
        <w:pStyle w:val="34"/>
        <w:spacing w:before="120" w:after="120"/>
        <w:ind w:left="363" w:hanging="363"/>
        <w:rPr>
          <w:szCs w:val="21"/>
        </w:rPr>
      </w:pPr>
      <w:r>
        <w:rPr>
          <w:szCs w:val="21"/>
        </w:rPr>
        <w:t>R3-225090. RAN3 aspects of NR network energy savings. Huawei, 2022-08.</w:t>
      </w:r>
    </w:p>
    <w:p>
      <w:pPr>
        <w:pStyle w:val="34"/>
        <w:spacing w:before="120" w:after="120"/>
        <w:rPr>
          <w:szCs w:val="21"/>
        </w:rPr>
      </w:pPr>
      <w:r>
        <w:rPr>
          <w:rFonts w:hint="eastAsia"/>
          <w:szCs w:val="21"/>
        </w:rPr>
        <w:t>R1-2209195. Discussion on NW energy saving performance evaluation. ZTE, Sanechips, 2022-09.</w:t>
      </w:r>
    </w:p>
    <w:p>
      <w:pPr>
        <w:pStyle w:val="34"/>
        <w:spacing w:before="120" w:after="120"/>
        <w:rPr>
          <w:szCs w:val="21"/>
        </w:rPr>
      </w:pPr>
      <w:r>
        <w:rPr>
          <w:rFonts w:hint="eastAsia"/>
          <w:szCs w:val="21"/>
        </w:rPr>
        <w:t>TS 38.306 h10.</w:t>
      </w:r>
      <w:bookmarkEnd w:id="279"/>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946CBC"/>
    <w:multiLevelType w:val="multilevel"/>
    <w:tmpl w:val="93946CBC"/>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840"/>
        </w:tabs>
        <w:ind w:left="420" w:hanging="420"/>
      </w:pPr>
      <w:rPr>
        <w:rFonts w:hint="default" w:ascii="Wingdings" w:hAnsi="Wingdings"/>
      </w:rPr>
    </w:lvl>
    <w:lvl w:ilvl="2" w:tentative="0">
      <w:start w:val="1"/>
      <w:numFmt w:val="bullet"/>
      <w:lvlText w:val=""/>
      <w:lvlJc w:val="left"/>
      <w:pPr>
        <w:tabs>
          <w:tab w:val="left" w:pos="1260"/>
        </w:tabs>
        <w:ind w:left="840" w:hanging="420"/>
      </w:pPr>
      <w:rPr>
        <w:rFonts w:hint="default" w:ascii="Wingdings" w:hAnsi="Wingdings"/>
      </w:rPr>
    </w:lvl>
    <w:lvl w:ilvl="3" w:tentative="0">
      <w:start w:val="1"/>
      <w:numFmt w:val="bullet"/>
      <w:lvlText w:val=""/>
      <w:lvlJc w:val="left"/>
      <w:pPr>
        <w:tabs>
          <w:tab w:val="left" w:pos="1680"/>
        </w:tabs>
        <w:ind w:left="1260" w:hanging="420"/>
      </w:pPr>
      <w:rPr>
        <w:rFonts w:hint="default" w:ascii="Wingdings" w:hAnsi="Wingdings"/>
      </w:rPr>
    </w:lvl>
    <w:lvl w:ilvl="4" w:tentative="0">
      <w:start w:val="1"/>
      <w:numFmt w:val="bullet"/>
      <w:lvlText w:val=""/>
      <w:lvlJc w:val="left"/>
      <w:pPr>
        <w:tabs>
          <w:tab w:val="left" w:pos="2100"/>
        </w:tabs>
        <w:ind w:left="1680" w:hanging="420"/>
      </w:pPr>
      <w:rPr>
        <w:rFonts w:hint="default" w:ascii="Wingdings" w:hAnsi="Wingdings"/>
      </w:rPr>
    </w:lvl>
    <w:lvl w:ilvl="5" w:tentative="0">
      <w:start w:val="1"/>
      <w:numFmt w:val="bullet"/>
      <w:lvlText w:val=""/>
      <w:lvlJc w:val="left"/>
      <w:pPr>
        <w:tabs>
          <w:tab w:val="left" w:pos="2520"/>
        </w:tabs>
        <w:ind w:left="2100" w:hanging="420"/>
      </w:pPr>
      <w:rPr>
        <w:rFonts w:hint="default" w:ascii="Wingdings" w:hAnsi="Wingdings"/>
      </w:rPr>
    </w:lvl>
    <w:lvl w:ilvl="6" w:tentative="0">
      <w:start w:val="1"/>
      <w:numFmt w:val="bullet"/>
      <w:lvlText w:val=""/>
      <w:lvlJc w:val="left"/>
      <w:pPr>
        <w:tabs>
          <w:tab w:val="left" w:pos="2940"/>
        </w:tabs>
        <w:ind w:left="2520" w:hanging="420"/>
      </w:pPr>
      <w:rPr>
        <w:rFonts w:hint="default" w:ascii="Wingdings" w:hAnsi="Wingdings"/>
      </w:rPr>
    </w:lvl>
    <w:lvl w:ilvl="7" w:tentative="0">
      <w:start w:val="1"/>
      <w:numFmt w:val="bullet"/>
      <w:lvlText w:val=""/>
      <w:lvlJc w:val="left"/>
      <w:pPr>
        <w:tabs>
          <w:tab w:val="left" w:pos="3360"/>
        </w:tabs>
        <w:ind w:left="2940" w:hanging="420"/>
      </w:pPr>
      <w:rPr>
        <w:rFonts w:hint="default" w:ascii="Wingdings" w:hAnsi="Wingdings"/>
      </w:rPr>
    </w:lvl>
    <w:lvl w:ilvl="8" w:tentative="0">
      <w:start w:val="1"/>
      <w:numFmt w:val="bullet"/>
      <w:lvlText w:val=""/>
      <w:lvlJc w:val="left"/>
      <w:pPr>
        <w:tabs>
          <w:tab w:val="left" w:pos="3780"/>
        </w:tabs>
        <w:ind w:left="3360" w:hanging="420"/>
      </w:pPr>
      <w:rPr>
        <w:rFonts w:hint="default" w:ascii="Wingdings" w:hAnsi="Wingdings"/>
      </w:rPr>
    </w:lvl>
  </w:abstractNum>
  <w:abstractNum w:abstractNumId="1">
    <w:nsid w:val="A291A1DD"/>
    <w:multiLevelType w:val="singleLevel"/>
    <w:tmpl w:val="A291A1DD"/>
    <w:lvl w:ilvl="0" w:tentative="0">
      <w:start w:val="1"/>
      <w:numFmt w:val="bullet"/>
      <w:lvlText w:val=""/>
      <w:lvlJc w:val="left"/>
      <w:pPr>
        <w:tabs>
          <w:tab w:val="left" w:pos="840"/>
        </w:tabs>
        <w:ind w:left="1260" w:hanging="420"/>
      </w:pPr>
      <w:rPr>
        <w:rFonts w:hint="default" w:ascii="Wingdings" w:hAnsi="Wingdings"/>
      </w:rPr>
    </w:lvl>
  </w:abstractNum>
  <w:abstractNum w:abstractNumId="2">
    <w:nsid w:val="AB34B193"/>
    <w:multiLevelType w:val="singleLevel"/>
    <w:tmpl w:val="AB34B193"/>
    <w:lvl w:ilvl="0" w:tentative="0">
      <w:start w:val="1"/>
      <w:numFmt w:val="decimal"/>
      <w:pStyle w:val="28"/>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abstractNum>
  <w:abstractNum w:abstractNumId="3">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4">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D63F4125"/>
    <w:multiLevelType w:val="multilevel"/>
    <w:tmpl w:val="D63F4125"/>
    <w:lvl w:ilvl="0" w:tentative="0">
      <w:start w:val="1"/>
      <w:numFmt w:val="bullet"/>
      <w:lvlText w:val=""/>
      <w:lvlJc w:val="left"/>
      <w:pPr>
        <w:ind w:left="420" w:hanging="420"/>
      </w:pPr>
      <w:rPr>
        <w:rFonts w:hint="default" w:ascii="Wingdings" w:hAnsi="Wingdings"/>
        <w:sz w:val="16"/>
        <w:szCs w:val="16"/>
      </w:rPr>
    </w:lvl>
    <w:lvl w:ilvl="1" w:tentative="0">
      <w:start w:val="1"/>
      <w:numFmt w:val="bullet"/>
      <w:lvlText w:val=""/>
      <w:lvlJc w:val="left"/>
      <w:pPr>
        <w:tabs>
          <w:tab w:val="left" w:pos="840"/>
        </w:tabs>
        <w:ind w:left="840" w:hanging="420"/>
      </w:pPr>
      <w:rPr>
        <w:rFonts w:hint="default" w:ascii="Wingdings" w:hAnsi="Wingdings"/>
        <w:sz w:val="16"/>
        <w:szCs w:val="16"/>
      </w:rPr>
    </w:lvl>
    <w:lvl w:ilvl="2" w:tentative="0">
      <w:start w:val="1"/>
      <w:numFmt w:val="bullet"/>
      <w:lvlText w:val=""/>
      <w:lvlJc w:val="left"/>
      <w:pPr>
        <w:tabs>
          <w:tab w:val="left" w:pos="1260"/>
        </w:tabs>
        <w:ind w:left="1260" w:hanging="420"/>
      </w:pPr>
      <w:rPr>
        <w:rFonts w:hint="default" w:ascii="Wingdings" w:hAnsi="Wingdings"/>
        <w:sz w:val="16"/>
        <w:szCs w:val="16"/>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1527C901"/>
    <w:multiLevelType w:val="singleLevel"/>
    <w:tmpl w:val="1527C901"/>
    <w:lvl w:ilvl="0" w:tentative="0">
      <w:start w:val="1"/>
      <w:numFmt w:val="bullet"/>
      <w:lvlText w:val=""/>
      <w:lvlJc w:val="left"/>
      <w:pPr>
        <w:ind w:left="420" w:hanging="420"/>
      </w:pPr>
      <w:rPr>
        <w:rFonts w:hint="default" w:ascii="Symbol" w:hAnsi="Symbol" w:cs="Symbol"/>
      </w:rPr>
    </w:lvl>
  </w:abstractNum>
  <w:abstractNum w:abstractNumId="8">
    <w:nsid w:val="1A683AA8"/>
    <w:multiLevelType w:val="multilevel"/>
    <w:tmpl w:val="1A683AA8"/>
    <w:lvl w:ilvl="0" w:tentative="0">
      <w:start w:val="1"/>
      <w:numFmt w:val="bullet"/>
      <w:lvlText w:val=""/>
      <w:lvlJc w:val="left"/>
      <w:pPr>
        <w:ind w:left="420" w:hanging="420"/>
      </w:pPr>
      <w:rPr>
        <w:rFonts w:hint="default" w:ascii="Wingdings" w:hAnsi="Wingdings"/>
        <w:sz w:val="16"/>
        <w:szCs w:val="16"/>
      </w:rPr>
    </w:lvl>
    <w:lvl w:ilvl="1" w:tentative="0">
      <w:start w:val="1"/>
      <w:numFmt w:val="bullet"/>
      <w:lvlText w:val=""/>
      <w:lvlJc w:val="left"/>
      <w:pPr>
        <w:tabs>
          <w:tab w:val="left" w:pos="840"/>
        </w:tabs>
        <w:ind w:left="840" w:hanging="420"/>
      </w:pPr>
      <w:rPr>
        <w:rFonts w:hint="default" w:ascii="Wingdings" w:hAnsi="Wingdings"/>
        <w:sz w:val="16"/>
        <w:szCs w:val="16"/>
      </w:rPr>
    </w:lvl>
    <w:lvl w:ilvl="2" w:tentative="0">
      <w:start w:val="1"/>
      <w:numFmt w:val="bullet"/>
      <w:lvlText w:val=""/>
      <w:lvlJc w:val="left"/>
      <w:pPr>
        <w:tabs>
          <w:tab w:val="left" w:pos="1260"/>
        </w:tabs>
        <w:ind w:left="1260" w:hanging="420"/>
      </w:pPr>
      <w:rPr>
        <w:rFonts w:hint="default" w:ascii="Wingdings" w:hAnsi="Wingdings"/>
        <w:sz w:val="16"/>
        <w:szCs w:val="16"/>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A2C18C9"/>
    <w:multiLevelType w:val="multilevel"/>
    <w:tmpl w:val="2A2C18C9"/>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0">
    <w:nsid w:val="3A620779"/>
    <w:multiLevelType w:val="multilevel"/>
    <w:tmpl w:val="3A6207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2">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13">
    <w:nsid w:val="5BA9FB25"/>
    <w:multiLevelType w:val="singleLevel"/>
    <w:tmpl w:val="5BA9FB25"/>
    <w:lvl w:ilvl="0" w:tentative="0">
      <w:start w:val="1"/>
      <w:numFmt w:val="bullet"/>
      <w:lvlText w:val=""/>
      <w:lvlJc w:val="left"/>
      <w:pPr>
        <w:tabs>
          <w:tab w:val="left" w:pos="420"/>
        </w:tabs>
        <w:ind w:left="840" w:hanging="420"/>
      </w:pPr>
      <w:rPr>
        <w:rFonts w:hint="default" w:ascii="Symbol" w:hAnsi="Symbol" w:cs="Symbol"/>
      </w:rPr>
    </w:lvl>
  </w:abstractNum>
  <w:abstractNum w:abstractNumId="14">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6A657EE5"/>
    <w:multiLevelType w:val="multilevel"/>
    <w:tmpl w:val="6A657EE5"/>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3F53FF0"/>
    <w:multiLevelType w:val="multilevel"/>
    <w:tmpl w:val="73F53FF0"/>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7">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6"/>
  </w:num>
  <w:num w:numId="2">
    <w:abstractNumId w:val="2"/>
  </w:num>
  <w:num w:numId="3">
    <w:abstractNumId w:val="4"/>
  </w:num>
  <w:num w:numId="4">
    <w:abstractNumId w:val="17"/>
  </w:num>
  <w:num w:numId="5">
    <w:abstractNumId w:val="3"/>
  </w:num>
  <w:num w:numId="6">
    <w:abstractNumId w:val="12"/>
  </w:num>
  <w:num w:numId="7">
    <w:abstractNumId w:val="11"/>
  </w:num>
  <w:num w:numId="8">
    <w:abstractNumId w:val="14"/>
  </w:num>
  <w:num w:numId="9">
    <w:abstractNumId w:val="10"/>
  </w:num>
  <w:num w:numId="10">
    <w:abstractNumId w:val="5"/>
  </w:num>
  <w:num w:numId="11">
    <w:abstractNumId w:val="8"/>
  </w:num>
  <w:num w:numId="12">
    <w:abstractNumId w:val="15"/>
  </w:num>
  <w:num w:numId="13">
    <w:abstractNumId w:val="1"/>
  </w:num>
  <w:num w:numId="14">
    <w:abstractNumId w:val="7"/>
  </w:num>
  <w:num w:numId="15">
    <w:abstractNumId w:val="0"/>
  </w:num>
  <w:num w:numId="16">
    <w:abstractNumId w:val="13"/>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533"/>
    <w:rsid w:val="00007BB2"/>
    <w:rsid w:val="00010389"/>
    <w:rsid w:val="00011362"/>
    <w:rsid w:val="00013157"/>
    <w:rsid w:val="000218E0"/>
    <w:rsid w:val="00024572"/>
    <w:rsid w:val="00033FB8"/>
    <w:rsid w:val="00041DF7"/>
    <w:rsid w:val="00046489"/>
    <w:rsid w:val="000464A0"/>
    <w:rsid w:val="00054432"/>
    <w:rsid w:val="00085F2B"/>
    <w:rsid w:val="000B3F71"/>
    <w:rsid w:val="000D24BA"/>
    <w:rsid w:val="000F3584"/>
    <w:rsid w:val="0011053D"/>
    <w:rsid w:val="0011115B"/>
    <w:rsid w:val="00111CB8"/>
    <w:rsid w:val="00116D48"/>
    <w:rsid w:val="00122562"/>
    <w:rsid w:val="0012492B"/>
    <w:rsid w:val="00134AE1"/>
    <w:rsid w:val="00142D93"/>
    <w:rsid w:val="00144A4B"/>
    <w:rsid w:val="0016494A"/>
    <w:rsid w:val="00172A27"/>
    <w:rsid w:val="0018384C"/>
    <w:rsid w:val="0019493C"/>
    <w:rsid w:val="001B0E9F"/>
    <w:rsid w:val="001B63AC"/>
    <w:rsid w:val="001C5C7C"/>
    <w:rsid w:val="001E5B39"/>
    <w:rsid w:val="001F2044"/>
    <w:rsid w:val="00201FA0"/>
    <w:rsid w:val="0022317D"/>
    <w:rsid w:val="00227542"/>
    <w:rsid w:val="00233407"/>
    <w:rsid w:val="00236074"/>
    <w:rsid w:val="002375D2"/>
    <w:rsid w:val="00250BAD"/>
    <w:rsid w:val="002577D1"/>
    <w:rsid w:val="00261D15"/>
    <w:rsid w:val="00265D0A"/>
    <w:rsid w:val="00276BB3"/>
    <w:rsid w:val="00277F98"/>
    <w:rsid w:val="002910DE"/>
    <w:rsid w:val="0029236C"/>
    <w:rsid w:val="002B232B"/>
    <w:rsid w:val="002C305B"/>
    <w:rsid w:val="002D5E31"/>
    <w:rsid w:val="002D785A"/>
    <w:rsid w:val="002E649F"/>
    <w:rsid w:val="002E7313"/>
    <w:rsid w:val="002F1E63"/>
    <w:rsid w:val="002F415F"/>
    <w:rsid w:val="002F41F2"/>
    <w:rsid w:val="003128E4"/>
    <w:rsid w:val="00336C18"/>
    <w:rsid w:val="00353EBF"/>
    <w:rsid w:val="00371BBF"/>
    <w:rsid w:val="00377B8D"/>
    <w:rsid w:val="00381508"/>
    <w:rsid w:val="003919F3"/>
    <w:rsid w:val="003A64B7"/>
    <w:rsid w:val="003B734E"/>
    <w:rsid w:val="003C2FB8"/>
    <w:rsid w:val="003D0348"/>
    <w:rsid w:val="003D20DF"/>
    <w:rsid w:val="003D771B"/>
    <w:rsid w:val="003E04A7"/>
    <w:rsid w:val="003E61E7"/>
    <w:rsid w:val="003F30E6"/>
    <w:rsid w:val="003F5933"/>
    <w:rsid w:val="0040221A"/>
    <w:rsid w:val="0041177A"/>
    <w:rsid w:val="00411842"/>
    <w:rsid w:val="00416528"/>
    <w:rsid w:val="0043221E"/>
    <w:rsid w:val="004421C8"/>
    <w:rsid w:val="00453B58"/>
    <w:rsid w:val="00456AC4"/>
    <w:rsid w:val="00460F5D"/>
    <w:rsid w:val="00465F02"/>
    <w:rsid w:val="00467485"/>
    <w:rsid w:val="00467652"/>
    <w:rsid w:val="00475B39"/>
    <w:rsid w:val="004902EA"/>
    <w:rsid w:val="004A6003"/>
    <w:rsid w:val="004B588E"/>
    <w:rsid w:val="004B61D5"/>
    <w:rsid w:val="004B6C6F"/>
    <w:rsid w:val="004C1FF3"/>
    <w:rsid w:val="004C28AD"/>
    <w:rsid w:val="004C3E2D"/>
    <w:rsid w:val="004D313B"/>
    <w:rsid w:val="004D7773"/>
    <w:rsid w:val="004F309B"/>
    <w:rsid w:val="005033BA"/>
    <w:rsid w:val="00507DEE"/>
    <w:rsid w:val="00511A3B"/>
    <w:rsid w:val="0051382A"/>
    <w:rsid w:val="00516392"/>
    <w:rsid w:val="00520392"/>
    <w:rsid w:val="00521EE3"/>
    <w:rsid w:val="00522E8D"/>
    <w:rsid w:val="0052535F"/>
    <w:rsid w:val="00533317"/>
    <w:rsid w:val="00556291"/>
    <w:rsid w:val="00560F18"/>
    <w:rsid w:val="005669EB"/>
    <w:rsid w:val="0057208E"/>
    <w:rsid w:val="00573CB2"/>
    <w:rsid w:val="00577081"/>
    <w:rsid w:val="00577EA8"/>
    <w:rsid w:val="00596579"/>
    <w:rsid w:val="005A7057"/>
    <w:rsid w:val="005B065E"/>
    <w:rsid w:val="005B351A"/>
    <w:rsid w:val="005B52DF"/>
    <w:rsid w:val="005E29F1"/>
    <w:rsid w:val="005E59C7"/>
    <w:rsid w:val="005E744B"/>
    <w:rsid w:val="005F799A"/>
    <w:rsid w:val="006137F6"/>
    <w:rsid w:val="00615E53"/>
    <w:rsid w:val="0063495A"/>
    <w:rsid w:val="006364F5"/>
    <w:rsid w:val="006402B3"/>
    <w:rsid w:val="00641B45"/>
    <w:rsid w:val="00647FE7"/>
    <w:rsid w:val="00662C25"/>
    <w:rsid w:val="00673028"/>
    <w:rsid w:val="00673095"/>
    <w:rsid w:val="006805BC"/>
    <w:rsid w:val="006830EB"/>
    <w:rsid w:val="00683CBB"/>
    <w:rsid w:val="00685239"/>
    <w:rsid w:val="006940BC"/>
    <w:rsid w:val="006A17BA"/>
    <w:rsid w:val="006A5607"/>
    <w:rsid w:val="006A7A11"/>
    <w:rsid w:val="006B3B0F"/>
    <w:rsid w:val="006B78D4"/>
    <w:rsid w:val="006C6EC9"/>
    <w:rsid w:val="006D031F"/>
    <w:rsid w:val="006E4AF9"/>
    <w:rsid w:val="006E7C0F"/>
    <w:rsid w:val="00723DE8"/>
    <w:rsid w:val="00730232"/>
    <w:rsid w:val="007336DC"/>
    <w:rsid w:val="00744D9E"/>
    <w:rsid w:val="00761A4D"/>
    <w:rsid w:val="00763C7E"/>
    <w:rsid w:val="00773ED4"/>
    <w:rsid w:val="00774239"/>
    <w:rsid w:val="0079317C"/>
    <w:rsid w:val="007946E1"/>
    <w:rsid w:val="00794A12"/>
    <w:rsid w:val="007A3E76"/>
    <w:rsid w:val="007B300B"/>
    <w:rsid w:val="007C58DD"/>
    <w:rsid w:val="007C7120"/>
    <w:rsid w:val="007D43AD"/>
    <w:rsid w:val="007D769E"/>
    <w:rsid w:val="007F0443"/>
    <w:rsid w:val="00803E39"/>
    <w:rsid w:val="00813137"/>
    <w:rsid w:val="00815927"/>
    <w:rsid w:val="00832CC8"/>
    <w:rsid w:val="00834EE2"/>
    <w:rsid w:val="0084496F"/>
    <w:rsid w:val="00846A69"/>
    <w:rsid w:val="008551A2"/>
    <w:rsid w:val="008635FE"/>
    <w:rsid w:val="00870D13"/>
    <w:rsid w:val="008716A4"/>
    <w:rsid w:val="0087257F"/>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7874"/>
    <w:rsid w:val="00921EDB"/>
    <w:rsid w:val="00944BED"/>
    <w:rsid w:val="0094549A"/>
    <w:rsid w:val="00945958"/>
    <w:rsid w:val="0096044C"/>
    <w:rsid w:val="00963156"/>
    <w:rsid w:val="00977E8F"/>
    <w:rsid w:val="00983278"/>
    <w:rsid w:val="00984B03"/>
    <w:rsid w:val="009A0714"/>
    <w:rsid w:val="009A1C9A"/>
    <w:rsid w:val="009B37ED"/>
    <w:rsid w:val="009B3F7A"/>
    <w:rsid w:val="009B4630"/>
    <w:rsid w:val="009C747F"/>
    <w:rsid w:val="009D0EF4"/>
    <w:rsid w:val="009D56BB"/>
    <w:rsid w:val="009D5915"/>
    <w:rsid w:val="009D5CC9"/>
    <w:rsid w:val="009E1EBF"/>
    <w:rsid w:val="009E28EC"/>
    <w:rsid w:val="009E29CF"/>
    <w:rsid w:val="009F5493"/>
    <w:rsid w:val="009F7F8C"/>
    <w:rsid w:val="00A017EF"/>
    <w:rsid w:val="00A07597"/>
    <w:rsid w:val="00A21A86"/>
    <w:rsid w:val="00A25260"/>
    <w:rsid w:val="00A2600D"/>
    <w:rsid w:val="00A27982"/>
    <w:rsid w:val="00A32632"/>
    <w:rsid w:val="00A33622"/>
    <w:rsid w:val="00A36F47"/>
    <w:rsid w:val="00A442D0"/>
    <w:rsid w:val="00A452E2"/>
    <w:rsid w:val="00A726CB"/>
    <w:rsid w:val="00A73834"/>
    <w:rsid w:val="00A80147"/>
    <w:rsid w:val="00A8309D"/>
    <w:rsid w:val="00A8342B"/>
    <w:rsid w:val="00A84E3B"/>
    <w:rsid w:val="00A914DF"/>
    <w:rsid w:val="00A94567"/>
    <w:rsid w:val="00AA1F20"/>
    <w:rsid w:val="00AA4BD9"/>
    <w:rsid w:val="00AA6278"/>
    <w:rsid w:val="00AB095A"/>
    <w:rsid w:val="00AB2184"/>
    <w:rsid w:val="00AB5D57"/>
    <w:rsid w:val="00AB7140"/>
    <w:rsid w:val="00AB7E2D"/>
    <w:rsid w:val="00AD2370"/>
    <w:rsid w:val="00AE177A"/>
    <w:rsid w:val="00AE7121"/>
    <w:rsid w:val="00AE74CD"/>
    <w:rsid w:val="00AF00F5"/>
    <w:rsid w:val="00AF2F5B"/>
    <w:rsid w:val="00B06256"/>
    <w:rsid w:val="00B10F45"/>
    <w:rsid w:val="00B14252"/>
    <w:rsid w:val="00B207DC"/>
    <w:rsid w:val="00B2101E"/>
    <w:rsid w:val="00B214AA"/>
    <w:rsid w:val="00B22F62"/>
    <w:rsid w:val="00B545C2"/>
    <w:rsid w:val="00B54A2E"/>
    <w:rsid w:val="00B5670A"/>
    <w:rsid w:val="00B60D44"/>
    <w:rsid w:val="00B647D0"/>
    <w:rsid w:val="00B75EFB"/>
    <w:rsid w:val="00B80FE6"/>
    <w:rsid w:val="00B83741"/>
    <w:rsid w:val="00B92B11"/>
    <w:rsid w:val="00B93E27"/>
    <w:rsid w:val="00BB39F2"/>
    <w:rsid w:val="00BE02CC"/>
    <w:rsid w:val="00BF2A62"/>
    <w:rsid w:val="00BF6FA5"/>
    <w:rsid w:val="00C16604"/>
    <w:rsid w:val="00C2443A"/>
    <w:rsid w:val="00C25027"/>
    <w:rsid w:val="00C31056"/>
    <w:rsid w:val="00C362F1"/>
    <w:rsid w:val="00C53CF9"/>
    <w:rsid w:val="00C758AE"/>
    <w:rsid w:val="00C76A51"/>
    <w:rsid w:val="00C8614D"/>
    <w:rsid w:val="00C87215"/>
    <w:rsid w:val="00C91147"/>
    <w:rsid w:val="00C95CBD"/>
    <w:rsid w:val="00C963A3"/>
    <w:rsid w:val="00CA6099"/>
    <w:rsid w:val="00CB3E3A"/>
    <w:rsid w:val="00CB7C8B"/>
    <w:rsid w:val="00CC1EBD"/>
    <w:rsid w:val="00CC3995"/>
    <w:rsid w:val="00CD63CA"/>
    <w:rsid w:val="00CF15EF"/>
    <w:rsid w:val="00CF1B79"/>
    <w:rsid w:val="00CF2004"/>
    <w:rsid w:val="00CF486B"/>
    <w:rsid w:val="00D0201E"/>
    <w:rsid w:val="00D152D3"/>
    <w:rsid w:val="00D209E0"/>
    <w:rsid w:val="00D24FB0"/>
    <w:rsid w:val="00D2741D"/>
    <w:rsid w:val="00D315F9"/>
    <w:rsid w:val="00D36BB3"/>
    <w:rsid w:val="00D429ED"/>
    <w:rsid w:val="00D4326F"/>
    <w:rsid w:val="00D4521F"/>
    <w:rsid w:val="00D53350"/>
    <w:rsid w:val="00D5676B"/>
    <w:rsid w:val="00D63A96"/>
    <w:rsid w:val="00D72C83"/>
    <w:rsid w:val="00D743E3"/>
    <w:rsid w:val="00D80115"/>
    <w:rsid w:val="00D81E19"/>
    <w:rsid w:val="00D83C97"/>
    <w:rsid w:val="00D8561C"/>
    <w:rsid w:val="00DA08CB"/>
    <w:rsid w:val="00DB0F7E"/>
    <w:rsid w:val="00DB3575"/>
    <w:rsid w:val="00DC0159"/>
    <w:rsid w:val="00DC463F"/>
    <w:rsid w:val="00DD60F1"/>
    <w:rsid w:val="00DE27A1"/>
    <w:rsid w:val="00DF07AA"/>
    <w:rsid w:val="00DF31AD"/>
    <w:rsid w:val="00DF3F57"/>
    <w:rsid w:val="00DF66B1"/>
    <w:rsid w:val="00E00547"/>
    <w:rsid w:val="00E069DA"/>
    <w:rsid w:val="00E10E3E"/>
    <w:rsid w:val="00E14B57"/>
    <w:rsid w:val="00E23574"/>
    <w:rsid w:val="00E33C1D"/>
    <w:rsid w:val="00E43AA9"/>
    <w:rsid w:val="00E47AD2"/>
    <w:rsid w:val="00E72841"/>
    <w:rsid w:val="00E81427"/>
    <w:rsid w:val="00E84B36"/>
    <w:rsid w:val="00EA673D"/>
    <w:rsid w:val="00ED2253"/>
    <w:rsid w:val="00ED6CEC"/>
    <w:rsid w:val="00EF2FB3"/>
    <w:rsid w:val="00EF475C"/>
    <w:rsid w:val="00EF57F3"/>
    <w:rsid w:val="00F172B9"/>
    <w:rsid w:val="00F2221A"/>
    <w:rsid w:val="00F36935"/>
    <w:rsid w:val="00F42146"/>
    <w:rsid w:val="00F46E11"/>
    <w:rsid w:val="00F501A8"/>
    <w:rsid w:val="00F6271C"/>
    <w:rsid w:val="00F666D5"/>
    <w:rsid w:val="00F71B0E"/>
    <w:rsid w:val="00F8057A"/>
    <w:rsid w:val="00F86CA7"/>
    <w:rsid w:val="00F870AA"/>
    <w:rsid w:val="00F96060"/>
    <w:rsid w:val="00FB70E6"/>
    <w:rsid w:val="00FB7830"/>
    <w:rsid w:val="00FC30CD"/>
    <w:rsid w:val="00FD2DE4"/>
    <w:rsid w:val="00FE0763"/>
    <w:rsid w:val="00FE4C1D"/>
    <w:rsid w:val="00FE6E88"/>
    <w:rsid w:val="01764F01"/>
    <w:rsid w:val="01806EBE"/>
    <w:rsid w:val="01821D40"/>
    <w:rsid w:val="01E272AD"/>
    <w:rsid w:val="02302A89"/>
    <w:rsid w:val="024D6B6A"/>
    <w:rsid w:val="029B04E7"/>
    <w:rsid w:val="02FA5057"/>
    <w:rsid w:val="03073BDC"/>
    <w:rsid w:val="033F44DC"/>
    <w:rsid w:val="03C442F7"/>
    <w:rsid w:val="051D4D0F"/>
    <w:rsid w:val="0555228E"/>
    <w:rsid w:val="059D1E39"/>
    <w:rsid w:val="05E078B3"/>
    <w:rsid w:val="05F670D0"/>
    <w:rsid w:val="05FF2629"/>
    <w:rsid w:val="06327940"/>
    <w:rsid w:val="077D0583"/>
    <w:rsid w:val="079724D0"/>
    <w:rsid w:val="07A76D75"/>
    <w:rsid w:val="07CC5EFA"/>
    <w:rsid w:val="07F611EA"/>
    <w:rsid w:val="082A352F"/>
    <w:rsid w:val="08C349D1"/>
    <w:rsid w:val="0920753B"/>
    <w:rsid w:val="09AC4B87"/>
    <w:rsid w:val="09CB6C73"/>
    <w:rsid w:val="09F67CD5"/>
    <w:rsid w:val="0A3F5639"/>
    <w:rsid w:val="0ACF2158"/>
    <w:rsid w:val="0B9E71DF"/>
    <w:rsid w:val="0BA4714B"/>
    <w:rsid w:val="0BF227FB"/>
    <w:rsid w:val="0C646FA9"/>
    <w:rsid w:val="0C9D30C2"/>
    <w:rsid w:val="0D63214B"/>
    <w:rsid w:val="0D9D65F4"/>
    <w:rsid w:val="0DC62ED7"/>
    <w:rsid w:val="0E0350FB"/>
    <w:rsid w:val="0E172BD0"/>
    <w:rsid w:val="0EEE55ED"/>
    <w:rsid w:val="0F5C2E50"/>
    <w:rsid w:val="0F9C54A4"/>
    <w:rsid w:val="0FFF33A1"/>
    <w:rsid w:val="101972D2"/>
    <w:rsid w:val="10880B98"/>
    <w:rsid w:val="10A50104"/>
    <w:rsid w:val="115B3410"/>
    <w:rsid w:val="119D7849"/>
    <w:rsid w:val="1237609D"/>
    <w:rsid w:val="1242135C"/>
    <w:rsid w:val="125213B1"/>
    <w:rsid w:val="126B73F5"/>
    <w:rsid w:val="127D04AC"/>
    <w:rsid w:val="134941FA"/>
    <w:rsid w:val="13A1683F"/>
    <w:rsid w:val="14275621"/>
    <w:rsid w:val="14DA3DA1"/>
    <w:rsid w:val="150560EA"/>
    <w:rsid w:val="15A970FA"/>
    <w:rsid w:val="16310E11"/>
    <w:rsid w:val="16F26E3A"/>
    <w:rsid w:val="17155857"/>
    <w:rsid w:val="17950508"/>
    <w:rsid w:val="19010C43"/>
    <w:rsid w:val="19084C73"/>
    <w:rsid w:val="1A054259"/>
    <w:rsid w:val="1AF45DC3"/>
    <w:rsid w:val="1B7F6005"/>
    <w:rsid w:val="1B9A4111"/>
    <w:rsid w:val="1C132CB9"/>
    <w:rsid w:val="1CCC26CA"/>
    <w:rsid w:val="1CFA4EEC"/>
    <w:rsid w:val="1D1B0C4B"/>
    <w:rsid w:val="1D64726C"/>
    <w:rsid w:val="1DB44757"/>
    <w:rsid w:val="1E7A20D5"/>
    <w:rsid w:val="1E9D6342"/>
    <w:rsid w:val="1EF22452"/>
    <w:rsid w:val="1F224C70"/>
    <w:rsid w:val="1F4271B7"/>
    <w:rsid w:val="1F666A53"/>
    <w:rsid w:val="204E6676"/>
    <w:rsid w:val="205F0395"/>
    <w:rsid w:val="20D05D17"/>
    <w:rsid w:val="20DD53B2"/>
    <w:rsid w:val="2195668B"/>
    <w:rsid w:val="21BE5AD4"/>
    <w:rsid w:val="21C74CE9"/>
    <w:rsid w:val="23081A49"/>
    <w:rsid w:val="23500484"/>
    <w:rsid w:val="245C52F8"/>
    <w:rsid w:val="2463385E"/>
    <w:rsid w:val="24A43DF9"/>
    <w:rsid w:val="24F63303"/>
    <w:rsid w:val="250D568B"/>
    <w:rsid w:val="25134332"/>
    <w:rsid w:val="257A78CA"/>
    <w:rsid w:val="257E508F"/>
    <w:rsid w:val="26BF5712"/>
    <w:rsid w:val="27375F2C"/>
    <w:rsid w:val="27490038"/>
    <w:rsid w:val="278E1479"/>
    <w:rsid w:val="27AB7429"/>
    <w:rsid w:val="285C053E"/>
    <w:rsid w:val="285D5D1E"/>
    <w:rsid w:val="28FC6167"/>
    <w:rsid w:val="29B9564D"/>
    <w:rsid w:val="29FA7F26"/>
    <w:rsid w:val="2AC13463"/>
    <w:rsid w:val="2B774832"/>
    <w:rsid w:val="2C045722"/>
    <w:rsid w:val="2C366CE2"/>
    <w:rsid w:val="2C8E5D3A"/>
    <w:rsid w:val="2D5B5F1D"/>
    <w:rsid w:val="2D996659"/>
    <w:rsid w:val="2DB5169A"/>
    <w:rsid w:val="2DF562D2"/>
    <w:rsid w:val="2E1B5BB0"/>
    <w:rsid w:val="2E6A6550"/>
    <w:rsid w:val="2EC0464C"/>
    <w:rsid w:val="2EDC1478"/>
    <w:rsid w:val="2F1251F2"/>
    <w:rsid w:val="30225B56"/>
    <w:rsid w:val="305A32AA"/>
    <w:rsid w:val="30962F3E"/>
    <w:rsid w:val="30D17E68"/>
    <w:rsid w:val="30FF2795"/>
    <w:rsid w:val="311E66E9"/>
    <w:rsid w:val="31F74610"/>
    <w:rsid w:val="32105575"/>
    <w:rsid w:val="329A6ACE"/>
    <w:rsid w:val="32E37353"/>
    <w:rsid w:val="33A40578"/>
    <w:rsid w:val="33AD5627"/>
    <w:rsid w:val="33B43C81"/>
    <w:rsid w:val="35782E8F"/>
    <w:rsid w:val="358D329B"/>
    <w:rsid w:val="35D248A8"/>
    <w:rsid w:val="35E90938"/>
    <w:rsid w:val="360B1D73"/>
    <w:rsid w:val="361F3323"/>
    <w:rsid w:val="36316013"/>
    <w:rsid w:val="36815E41"/>
    <w:rsid w:val="36E93760"/>
    <w:rsid w:val="373B6D0E"/>
    <w:rsid w:val="3768478E"/>
    <w:rsid w:val="3784394E"/>
    <w:rsid w:val="38005CE8"/>
    <w:rsid w:val="3892196A"/>
    <w:rsid w:val="38AE3BB0"/>
    <w:rsid w:val="38AF2A4C"/>
    <w:rsid w:val="3ACB5746"/>
    <w:rsid w:val="3AE82784"/>
    <w:rsid w:val="3B0C5E6C"/>
    <w:rsid w:val="3BA34642"/>
    <w:rsid w:val="3BB20883"/>
    <w:rsid w:val="3C476638"/>
    <w:rsid w:val="3C484781"/>
    <w:rsid w:val="3D962CB3"/>
    <w:rsid w:val="3DA8275C"/>
    <w:rsid w:val="3DD42738"/>
    <w:rsid w:val="3DDB5F69"/>
    <w:rsid w:val="3E441C7D"/>
    <w:rsid w:val="3E712EDD"/>
    <w:rsid w:val="3FC956FF"/>
    <w:rsid w:val="3FCB701F"/>
    <w:rsid w:val="3FF830EB"/>
    <w:rsid w:val="407C1043"/>
    <w:rsid w:val="409604E3"/>
    <w:rsid w:val="40A36A71"/>
    <w:rsid w:val="410E4736"/>
    <w:rsid w:val="41531A8A"/>
    <w:rsid w:val="41D3631F"/>
    <w:rsid w:val="41F466FD"/>
    <w:rsid w:val="427F677D"/>
    <w:rsid w:val="429452EC"/>
    <w:rsid w:val="42A67A24"/>
    <w:rsid w:val="42D846B9"/>
    <w:rsid w:val="43B5610A"/>
    <w:rsid w:val="43C9140E"/>
    <w:rsid w:val="440D5045"/>
    <w:rsid w:val="44AC68E9"/>
    <w:rsid w:val="45BE6191"/>
    <w:rsid w:val="45F939A7"/>
    <w:rsid w:val="460C5979"/>
    <w:rsid w:val="462309DF"/>
    <w:rsid w:val="477A5042"/>
    <w:rsid w:val="47C01792"/>
    <w:rsid w:val="4808150F"/>
    <w:rsid w:val="48F92E9A"/>
    <w:rsid w:val="494906E8"/>
    <w:rsid w:val="49E9233D"/>
    <w:rsid w:val="4AAD1944"/>
    <w:rsid w:val="4AC31003"/>
    <w:rsid w:val="4AE93159"/>
    <w:rsid w:val="4B694536"/>
    <w:rsid w:val="4BBF11D3"/>
    <w:rsid w:val="4BC858F2"/>
    <w:rsid w:val="4BD0339A"/>
    <w:rsid w:val="4CDE1BDC"/>
    <w:rsid w:val="4CDF3441"/>
    <w:rsid w:val="4CF32AFE"/>
    <w:rsid w:val="4D462159"/>
    <w:rsid w:val="4D5C5FAC"/>
    <w:rsid w:val="4DC605B6"/>
    <w:rsid w:val="4DEC0985"/>
    <w:rsid w:val="4DFA595C"/>
    <w:rsid w:val="4E27683A"/>
    <w:rsid w:val="4E8F338F"/>
    <w:rsid w:val="4F134476"/>
    <w:rsid w:val="4F2765B1"/>
    <w:rsid w:val="4F285975"/>
    <w:rsid w:val="50AA763B"/>
    <w:rsid w:val="51796EDE"/>
    <w:rsid w:val="51867298"/>
    <w:rsid w:val="52195EDF"/>
    <w:rsid w:val="52313387"/>
    <w:rsid w:val="52787113"/>
    <w:rsid w:val="52E04D27"/>
    <w:rsid w:val="52F6383C"/>
    <w:rsid w:val="539A390F"/>
    <w:rsid w:val="53DB3477"/>
    <w:rsid w:val="547F17FE"/>
    <w:rsid w:val="54AF6B42"/>
    <w:rsid w:val="54F273DE"/>
    <w:rsid w:val="55DD6F2A"/>
    <w:rsid w:val="55E40B44"/>
    <w:rsid w:val="5615403F"/>
    <w:rsid w:val="56E23970"/>
    <w:rsid w:val="577465BE"/>
    <w:rsid w:val="577A3C7D"/>
    <w:rsid w:val="578F220A"/>
    <w:rsid w:val="57A07D15"/>
    <w:rsid w:val="57EB75F9"/>
    <w:rsid w:val="57FC07D9"/>
    <w:rsid w:val="57FE2A7E"/>
    <w:rsid w:val="58500F22"/>
    <w:rsid w:val="58CE3E8C"/>
    <w:rsid w:val="590A13C4"/>
    <w:rsid w:val="591C0009"/>
    <w:rsid w:val="59353CAD"/>
    <w:rsid w:val="5A4703FC"/>
    <w:rsid w:val="5ACF0F3A"/>
    <w:rsid w:val="5B5728E4"/>
    <w:rsid w:val="5BB92950"/>
    <w:rsid w:val="5C281531"/>
    <w:rsid w:val="5C4F07F5"/>
    <w:rsid w:val="5C50228D"/>
    <w:rsid w:val="5C6B1600"/>
    <w:rsid w:val="5C921AD0"/>
    <w:rsid w:val="5DFD51DB"/>
    <w:rsid w:val="5DFF3E57"/>
    <w:rsid w:val="5E0D36E5"/>
    <w:rsid w:val="5E7216BA"/>
    <w:rsid w:val="5ECA60C5"/>
    <w:rsid w:val="5F3D14BC"/>
    <w:rsid w:val="5F526966"/>
    <w:rsid w:val="5F9D163A"/>
    <w:rsid w:val="5FD46148"/>
    <w:rsid w:val="601E1F04"/>
    <w:rsid w:val="607C3753"/>
    <w:rsid w:val="60AE6C2B"/>
    <w:rsid w:val="60B46AC6"/>
    <w:rsid w:val="60C30855"/>
    <w:rsid w:val="60E80146"/>
    <w:rsid w:val="61421EFD"/>
    <w:rsid w:val="615C5041"/>
    <w:rsid w:val="61F039A5"/>
    <w:rsid w:val="629C5907"/>
    <w:rsid w:val="63072E65"/>
    <w:rsid w:val="6383615A"/>
    <w:rsid w:val="647317E2"/>
    <w:rsid w:val="651A0AA9"/>
    <w:rsid w:val="6562260F"/>
    <w:rsid w:val="65660485"/>
    <w:rsid w:val="663843DF"/>
    <w:rsid w:val="66423870"/>
    <w:rsid w:val="664805B8"/>
    <w:rsid w:val="672763E9"/>
    <w:rsid w:val="6793100B"/>
    <w:rsid w:val="67EC6D78"/>
    <w:rsid w:val="68617BBF"/>
    <w:rsid w:val="68661C6E"/>
    <w:rsid w:val="690F418B"/>
    <w:rsid w:val="69A719B8"/>
    <w:rsid w:val="69D01FCE"/>
    <w:rsid w:val="6A1F141B"/>
    <w:rsid w:val="6A7A2736"/>
    <w:rsid w:val="6A7B4B9C"/>
    <w:rsid w:val="6ADC224B"/>
    <w:rsid w:val="6BFC2C2C"/>
    <w:rsid w:val="6C89456C"/>
    <w:rsid w:val="6D0D1A6A"/>
    <w:rsid w:val="6DB2096C"/>
    <w:rsid w:val="6E04085D"/>
    <w:rsid w:val="6E254769"/>
    <w:rsid w:val="6E5F6002"/>
    <w:rsid w:val="6F901B66"/>
    <w:rsid w:val="6FA629D4"/>
    <w:rsid w:val="6FB81772"/>
    <w:rsid w:val="6FD10552"/>
    <w:rsid w:val="70475452"/>
    <w:rsid w:val="70BB2EF0"/>
    <w:rsid w:val="71C543A2"/>
    <w:rsid w:val="72015C4E"/>
    <w:rsid w:val="733A4D38"/>
    <w:rsid w:val="73455C21"/>
    <w:rsid w:val="738917D5"/>
    <w:rsid w:val="73AC63B2"/>
    <w:rsid w:val="73C4387B"/>
    <w:rsid w:val="73CA0FB0"/>
    <w:rsid w:val="73D425F7"/>
    <w:rsid w:val="74147546"/>
    <w:rsid w:val="7450765C"/>
    <w:rsid w:val="74A451F1"/>
    <w:rsid w:val="750874F9"/>
    <w:rsid w:val="750A2023"/>
    <w:rsid w:val="75296CB8"/>
    <w:rsid w:val="7676736A"/>
    <w:rsid w:val="76933951"/>
    <w:rsid w:val="771D661B"/>
    <w:rsid w:val="771F7714"/>
    <w:rsid w:val="775E526E"/>
    <w:rsid w:val="77D327F1"/>
    <w:rsid w:val="78634A72"/>
    <w:rsid w:val="78782A0D"/>
    <w:rsid w:val="794A24B1"/>
    <w:rsid w:val="7989435B"/>
    <w:rsid w:val="79921278"/>
    <w:rsid w:val="7996144E"/>
    <w:rsid w:val="79A2171F"/>
    <w:rsid w:val="79A252FF"/>
    <w:rsid w:val="79C649C5"/>
    <w:rsid w:val="79D33056"/>
    <w:rsid w:val="7ADB2BA5"/>
    <w:rsid w:val="7B333F7E"/>
    <w:rsid w:val="7B4E4792"/>
    <w:rsid w:val="7BD50445"/>
    <w:rsid w:val="7C26369C"/>
    <w:rsid w:val="7C9E5A24"/>
    <w:rsid w:val="7CAC00CB"/>
    <w:rsid w:val="7D156487"/>
    <w:rsid w:val="7D575412"/>
    <w:rsid w:val="7D62117D"/>
    <w:rsid w:val="7D833A66"/>
    <w:rsid w:val="7DB54254"/>
    <w:rsid w:val="7E3E1EF2"/>
    <w:rsid w:val="7E951513"/>
    <w:rsid w:val="7EF74FC9"/>
    <w:rsid w:val="7F056EE2"/>
    <w:rsid w:val="7F37349D"/>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8">
    <w:name w:val="Default Paragraph Font"/>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caption"/>
    <w:basedOn w:val="1"/>
    <w:next w:val="1"/>
    <w:semiHidden/>
    <w:unhideWhenUsed/>
    <w:qFormat/>
    <w:uiPriority w:val="99"/>
    <w:rPr>
      <w:rFonts w:ascii="Arial" w:hAnsi="Arial" w:eastAsia="黑体"/>
      <w:sz w:val="20"/>
    </w:rPr>
  </w:style>
  <w:style w:type="paragraph" w:styleId="6">
    <w:name w:val="annotation text"/>
    <w:basedOn w:val="1"/>
    <w:link w:val="38"/>
    <w:semiHidden/>
    <w:unhideWhenUsed/>
    <w:qFormat/>
    <w:uiPriority w:val="0"/>
  </w:style>
  <w:style w:type="paragraph" w:styleId="7">
    <w:name w:val="Body Text"/>
    <w:basedOn w:val="1"/>
    <w:qFormat/>
    <w:uiPriority w:val="0"/>
    <w:pPr>
      <w:spacing w:after="120"/>
    </w:pPr>
  </w:style>
  <w:style w:type="paragraph" w:styleId="8">
    <w:name w:val="toc 3"/>
    <w:basedOn w:val="1"/>
    <w:next w:val="1"/>
    <w:unhideWhenUsed/>
    <w:qFormat/>
    <w:uiPriority w:val="99"/>
    <w:pPr>
      <w:adjustRightInd w:val="0"/>
      <w:ind w:left="1282" w:leftChars="400" w:hanging="442" w:hangingChars="200"/>
    </w:pPr>
    <w:rPr>
      <w:b/>
      <w:i/>
      <w:sz w:val="20"/>
    </w:rPr>
  </w:style>
  <w:style w:type="paragraph" w:styleId="9">
    <w:name w:val="Balloon Text"/>
    <w:basedOn w:val="1"/>
    <w:link w:val="27"/>
    <w:semiHidden/>
    <w:unhideWhenUsed/>
    <w:qFormat/>
    <w:uiPriority w:val="99"/>
    <w:pPr>
      <w:spacing w:before="0" w:after="0"/>
    </w:pPr>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annotation subject"/>
    <w:basedOn w:val="6"/>
    <w:next w:val="6"/>
    <w:link w:val="39"/>
    <w:semiHidden/>
    <w:unhideWhenUsed/>
    <w:qFormat/>
    <w:uiPriority w:val="99"/>
    <w:pPr>
      <w:jc w:val="left"/>
    </w:pPr>
    <w:rPr>
      <w:b/>
      <w:bCs/>
    </w:rPr>
  </w:style>
  <w:style w:type="table" w:styleId="17">
    <w:name w:val="Table Grid"/>
    <w:basedOn w:val="1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99"/>
    <w:rPr>
      <w:b/>
      <w:sz w:val="19"/>
      <w:szCs w:val="19"/>
    </w:rPr>
  </w:style>
  <w:style w:type="character" w:styleId="20">
    <w:name w:val="FollowedHyperlink"/>
    <w:basedOn w:val="18"/>
    <w:semiHidden/>
    <w:unhideWhenUsed/>
    <w:qFormat/>
    <w:uiPriority w:val="99"/>
    <w:rPr>
      <w:color w:val="409EFF"/>
      <w:u w:val="none"/>
    </w:rPr>
  </w:style>
  <w:style w:type="character" w:styleId="21">
    <w:name w:val="HTML Definition"/>
    <w:basedOn w:val="18"/>
    <w:semiHidden/>
    <w:unhideWhenUsed/>
    <w:qFormat/>
    <w:uiPriority w:val="99"/>
    <w:rPr>
      <w:i/>
    </w:rPr>
  </w:style>
  <w:style w:type="character" w:styleId="22">
    <w:name w:val="Hyperlink"/>
    <w:basedOn w:val="18"/>
    <w:unhideWhenUsed/>
    <w:qFormat/>
    <w:uiPriority w:val="99"/>
    <w:rPr>
      <w:color w:val="0000FF" w:themeColor="hyperlink"/>
      <w:u w:val="single"/>
      <w14:textFill>
        <w14:solidFill>
          <w14:schemeClr w14:val="hlink"/>
        </w14:solidFill>
      </w14:textFill>
    </w:rPr>
  </w:style>
  <w:style w:type="character" w:styleId="23">
    <w:name w:val="HTML Code"/>
    <w:basedOn w:val="18"/>
    <w:semiHidden/>
    <w:unhideWhenUsed/>
    <w:qFormat/>
    <w:uiPriority w:val="99"/>
    <w:rPr>
      <w:rFonts w:hint="default" w:ascii="Consolas" w:hAnsi="Consolas" w:eastAsia="Consolas" w:cs="Consolas"/>
      <w:color w:val="C7254E"/>
      <w:sz w:val="21"/>
      <w:szCs w:val="21"/>
      <w:shd w:val="clear" w:color="auto" w:fill="F9F2F4"/>
    </w:rPr>
  </w:style>
  <w:style w:type="character" w:styleId="24">
    <w:name w:val="annotation reference"/>
    <w:basedOn w:val="18"/>
    <w:semiHidden/>
    <w:unhideWhenUsed/>
    <w:qFormat/>
    <w:uiPriority w:val="99"/>
    <w:rPr>
      <w:sz w:val="21"/>
      <w:szCs w:val="21"/>
    </w:rPr>
  </w:style>
  <w:style w:type="character" w:styleId="25">
    <w:name w:val="HTML Keyboard"/>
    <w:basedOn w:val="18"/>
    <w:semiHidden/>
    <w:unhideWhenUsed/>
    <w:qFormat/>
    <w:uiPriority w:val="99"/>
    <w:rPr>
      <w:rFonts w:ascii="Consolas" w:hAnsi="Consolas" w:eastAsia="Consolas" w:cs="Consolas"/>
      <w:color w:val="FFFFFF"/>
      <w:sz w:val="21"/>
      <w:szCs w:val="21"/>
      <w:shd w:val="clear" w:color="auto" w:fill="333333"/>
    </w:rPr>
  </w:style>
  <w:style w:type="character" w:styleId="26">
    <w:name w:val="HTML Sample"/>
    <w:basedOn w:val="18"/>
    <w:semiHidden/>
    <w:unhideWhenUsed/>
    <w:qFormat/>
    <w:uiPriority w:val="99"/>
    <w:rPr>
      <w:rFonts w:hint="default" w:ascii="Consolas" w:hAnsi="Consolas" w:eastAsia="Consolas" w:cs="Consolas"/>
      <w:sz w:val="21"/>
      <w:szCs w:val="21"/>
    </w:rPr>
  </w:style>
  <w:style w:type="character" w:customStyle="1" w:styleId="27">
    <w:name w:val="批注框文本 字符"/>
    <w:basedOn w:val="18"/>
    <w:link w:val="9"/>
    <w:semiHidden/>
    <w:qFormat/>
    <w:uiPriority w:val="99"/>
    <w:rPr>
      <w:kern w:val="2"/>
      <w:sz w:val="18"/>
      <w:szCs w:val="18"/>
    </w:rPr>
  </w:style>
  <w:style w:type="paragraph" w:customStyle="1" w:styleId="28">
    <w:name w:val="YJ-Observation"/>
    <w:basedOn w:val="29"/>
    <w:qFormat/>
    <w:uiPriority w:val="0"/>
    <w:pPr>
      <w:numPr>
        <w:ilvl w:val="0"/>
        <w:numId w:val="2"/>
      </w:numPr>
      <w:tabs>
        <w:tab w:val="left" w:pos="0"/>
        <w:tab w:val="left" w:pos="420"/>
      </w:tabs>
    </w:pPr>
  </w:style>
  <w:style w:type="paragraph" w:customStyle="1" w:styleId="29">
    <w:name w:val="YJ-Proposal"/>
    <w:basedOn w:val="1"/>
    <w:qFormat/>
    <w:uiPriority w:val="0"/>
    <w:pPr>
      <w:numPr>
        <w:ilvl w:val="0"/>
        <w:numId w:val="3"/>
      </w:numPr>
    </w:pPr>
    <w:rPr>
      <w:rFonts w:eastAsiaTheme="minorEastAsia"/>
      <w:b/>
      <w:bCs/>
      <w:szCs w:val="21"/>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批注文字 字符"/>
    <w:basedOn w:val="18"/>
    <w:link w:val="6"/>
    <w:semiHidden/>
    <w:qFormat/>
    <w:uiPriority w:val="0"/>
    <w:rPr>
      <w:kern w:val="2"/>
      <w:sz w:val="21"/>
    </w:rPr>
  </w:style>
  <w:style w:type="character" w:customStyle="1" w:styleId="39">
    <w:name w:val="批注主题 字符"/>
    <w:basedOn w:val="38"/>
    <w:link w:val="15"/>
    <w:semiHidden/>
    <w:qFormat/>
    <w:uiPriority w:val="99"/>
    <w:rPr>
      <w:b/>
      <w:bCs/>
      <w:kern w:val="2"/>
      <w:sz w:val="21"/>
    </w:rPr>
  </w:style>
  <w:style w:type="character" w:customStyle="1" w:styleId="40">
    <w:name w:val="active1"/>
    <w:basedOn w:val="18"/>
    <w:qFormat/>
    <w:uiPriority w:val="0"/>
    <w:rPr>
      <w:color w:val="FFFFFF"/>
      <w:shd w:val="clear" w:color="auto" w:fill="006DCC"/>
    </w:rPr>
  </w:style>
  <w:style w:type="character" w:customStyle="1" w:styleId="41">
    <w:name w:val="old"/>
    <w:basedOn w:val="18"/>
    <w:qFormat/>
    <w:uiPriority w:val="0"/>
    <w:rPr>
      <w:color w:val="999999"/>
    </w:rPr>
  </w:style>
  <w:style w:type="character" w:customStyle="1" w:styleId="42">
    <w:name w:val="hover16"/>
    <w:basedOn w:val="18"/>
    <w:qFormat/>
    <w:uiPriority w:val="0"/>
    <w:rPr>
      <w:shd w:val="clear" w:color="auto" w:fill="EEEEEE"/>
    </w:rPr>
  </w:style>
  <w:style w:type="character" w:customStyle="1" w:styleId="43">
    <w:name w:val="badge57"/>
    <w:basedOn w:val="18"/>
    <w:qFormat/>
    <w:uiPriority w:val="0"/>
    <w:rPr>
      <w:b/>
      <w:color w:val="FFFFFF"/>
      <w:sz w:val="24"/>
      <w:szCs w:val="24"/>
      <w:shd w:val="clear" w:color="auto" w:fill="001F3F"/>
    </w:rPr>
  </w:style>
  <w:style w:type="character" w:customStyle="1" w:styleId="44">
    <w:name w:val="badge56"/>
    <w:basedOn w:val="18"/>
    <w:qFormat/>
    <w:uiPriority w:val="0"/>
    <w:rPr>
      <w:b/>
      <w:color w:val="FFFFFF"/>
      <w:sz w:val="24"/>
      <w:szCs w:val="24"/>
      <w:shd w:val="clear" w:color="auto" w:fill="001F3F"/>
    </w:rPr>
  </w:style>
  <w:style w:type="character" w:customStyle="1" w:styleId="45">
    <w:name w:val="badge58"/>
    <w:basedOn w:val="18"/>
    <w:qFormat/>
    <w:uiPriority w:val="0"/>
    <w:rPr>
      <w:b/>
      <w:color w:val="FFFFFF"/>
      <w:sz w:val="24"/>
      <w:szCs w:val="24"/>
      <w:shd w:val="clear" w:color="auto" w:fill="001F3F"/>
    </w:rPr>
  </w:style>
  <w:style w:type="character" w:customStyle="1" w:styleId="46">
    <w:name w:val="active3"/>
    <w:basedOn w:val="18"/>
    <w:qFormat/>
    <w:uiPriority w:val="0"/>
    <w:rPr>
      <w:color w:val="FFFFFF"/>
      <w:shd w:val="clear" w:color="auto" w:fill="006DCC"/>
    </w:rPr>
  </w:style>
  <w:style w:type="character" w:customStyle="1" w:styleId="47">
    <w:name w:val="badge55"/>
    <w:basedOn w:val="18"/>
    <w:qFormat/>
    <w:uiPriority w:val="0"/>
    <w:rPr>
      <w:b/>
      <w:color w:val="FFFFFF"/>
      <w:sz w:val="24"/>
      <w:szCs w:val="24"/>
      <w:shd w:val="clear" w:color="auto" w:fill="001F3F"/>
    </w:rPr>
  </w:style>
  <w:style w:type="character" w:customStyle="1" w:styleId="48">
    <w:name w:val="hover15"/>
    <w:basedOn w:val="18"/>
    <w:qFormat/>
    <w:uiPriority w:val="0"/>
    <w:rPr>
      <w:shd w:val="clear" w:color="auto" w:fill="EEEEE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chart" Target="charts/chart6.xml"/><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chart" Target="charts/chart5.xml"/><Relationship Id="rId17" Type="http://schemas.openxmlformats.org/officeDocument/2006/relationships/image" Target="media/image4.png"/><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Users\00225584\Desktop\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Users\00225584\Desktop\RAN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Users\00225584\Desktop\RAN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Users\00225584\Desktop\RAN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Users\00225584\Desktop\RAN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Users\00225584\Desktop\RAN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TDD</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142670665020286"/>
          <c:y val="0.144326866549089"/>
          <c:w val="0.744293526195096"/>
          <c:h val="0.648206937095826"/>
        </c:manualLayout>
      </c:layout>
      <c:barChart>
        <c:barDir val="col"/>
        <c:grouping val="clustered"/>
        <c:varyColors val="0"/>
        <c:ser>
          <c:idx val="2"/>
          <c:order val="0"/>
          <c:tx>
            <c:strRef>
              <c:f>'[RAN1#110b-e SLS仿真数据.xlsx]Sheet1'!$C$21</c:f>
              <c:strCache>
                <c:ptCount val="1"/>
                <c:pt idx="0">
                  <c:v>ESG ssbsib-less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'[RAN1#110b-e SLS仿真数据.xlsx]Sheet1'!$A$22:$A$26</c:f>
              <c:numCache>
                <c:formatCode>0%</c:formatCode>
                <c:ptCount val="4"/>
                <c:pt idx="0" c:formatCode="0%">
                  <c:v>0.05</c:v>
                </c:pt>
                <c:pt idx="1" c:formatCode="0%">
                  <c:v>0.1</c:v>
                </c:pt>
                <c:pt idx="2" c:formatCode="0%">
                  <c:v>0.25</c:v>
                </c:pt>
                <c:pt idx="3" c:formatCode="0%">
                  <c:v>0.4</c:v>
                </c:pt>
              </c:numCache>
            </c:numRef>
          </c:cat>
          <c:val>
            <c:numRef>
              <c:f>Sheet1!$C$22:$C$26</c:f>
              <c:numCache>
                <c:formatCode>General</c:formatCode>
                <c:ptCount val="4"/>
                <c:pt idx="0">
                  <c:v>0.24152139818587</c:v>
                </c:pt>
                <c:pt idx="1">
                  <c:v>0.168425258441978</c:v>
                </c:pt>
                <c:pt idx="2">
                  <c:v>0.105403029811384</c:v>
                </c:pt>
                <c:pt idx="3">
                  <c:v>0.0649298616768171</c:v>
                </c:pt>
              </c:numCache>
            </c:numRef>
          </c:val>
        </c:ser>
        <c:dLbls>
          <c:showLegendKey val="0"/>
          <c:showVal val="1"/>
          <c:showCatName val="0"/>
          <c:showSerName val="0"/>
          <c:showPercent val="0"/>
          <c:showBubbleSize val="0"/>
        </c:dLbls>
        <c:gapWidth val="219"/>
        <c:axId val="57153765"/>
        <c:axId val="450749311"/>
      </c:barChart>
      <c:lineChart>
        <c:grouping val="standard"/>
        <c:varyColors val="0"/>
        <c:ser>
          <c:idx val="3"/>
          <c:order val="1"/>
          <c:tx>
            <c:strRef>
              <c:f>'[RAN1#110b-e SLS仿真数据.xlsx]Sheet1'!$D$21</c:f>
              <c:strCache>
                <c:ptCount val="1"/>
                <c:pt idx="0">
                  <c:v>UPT gain ssbsib-less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'[RAN1#110b-e SLS仿真数据.xlsx]Sheet1'!$A$22:$A$26</c:f>
              <c:numCache>
                <c:formatCode>0%</c:formatCode>
                <c:ptCount val="4"/>
                <c:pt idx="0" c:formatCode="0%">
                  <c:v>0.05</c:v>
                </c:pt>
                <c:pt idx="1" c:formatCode="0%">
                  <c:v>0.1</c:v>
                </c:pt>
                <c:pt idx="2" c:formatCode="0%">
                  <c:v>0.25</c:v>
                </c:pt>
                <c:pt idx="3" c:formatCode="0%">
                  <c:v>0.4</c:v>
                </c:pt>
              </c:numCache>
            </c:numRef>
          </c:cat>
          <c:val>
            <c:numRef>
              <c:f>Sheet1!$D$22:$D$26</c:f>
              <c:numCache>
                <c:formatCode>General</c:formatCode>
                <c:ptCount val="4"/>
                <c:pt idx="0">
                  <c:v>0.0211767511893199</c:v>
                </c:pt>
                <c:pt idx="1">
                  <c:v>0.02215168986399</c:v>
                </c:pt>
                <c:pt idx="2">
                  <c:v>0.0225930331009601</c:v>
                </c:pt>
                <c:pt idx="3">
                  <c:v>0.02706304195519</c:v>
                </c:pt>
              </c:numCache>
            </c:numRef>
          </c:val>
          <c:smooth val="0"/>
        </c:ser>
        <c:dLbls>
          <c:showLegendKey val="0"/>
          <c:showVal val="1"/>
          <c:showCatName val="0"/>
          <c:showSerName val="0"/>
          <c:showPercent val="0"/>
          <c:showBubbleSize val="0"/>
        </c:dLbls>
        <c:marker val="1"/>
        <c:smooth val="0"/>
        <c:axId val="792809053"/>
        <c:axId val="152241234"/>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endParaRPr lang="en-US" altLang="zh-CN" sz="700"/>
              </a:p>
            </c:rich>
          </c:tx>
          <c:layout>
            <c:manualLayout>
              <c:xMode val="edge"/>
              <c:yMode val="edge"/>
              <c:x val="0.496774539625845"/>
              <c:y val="0.864899458997606"/>
            </c:manualLayout>
          </c:layout>
          <c:overlay val="0"/>
          <c:spPr>
            <a:noFill/>
            <a:ln>
              <a:noFill/>
            </a:ln>
            <a:effectLst/>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7153765"/>
        <c:crosses val="autoZero"/>
        <c:crossBetween val="between"/>
        <c:majorUnit val="0.5"/>
      </c:valAx>
      <c:catAx>
        <c:axId val="792809053"/>
        <c:scaling>
          <c:orientation val="minMax"/>
        </c:scaling>
        <c:delete val="1"/>
        <c:axPos val="b"/>
        <c:numFmt formatCode="0%"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52241234"/>
        <c:crosses val="autoZero"/>
        <c:auto val="1"/>
        <c:lblAlgn val="ctr"/>
        <c:lblOffset val="100"/>
        <c:noMultiLvlLbl val="0"/>
      </c:catAx>
      <c:valAx>
        <c:axId val="152241234"/>
        <c:scaling>
          <c:orientation val="minMax"/>
          <c:max val="0.036"/>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792809053"/>
        <c:crosses val="max"/>
        <c:crossBetween val="between"/>
        <c:majorUnit val="0.03"/>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manualLayout>
          <c:xMode val="edge"/>
          <c:yMode val="edge"/>
          <c:x val="0.231434115364262"/>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FDD</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142670665020286"/>
          <c:y val="0.144326866549089"/>
          <c:w val="0.744293526195096"/>
          <c:h val="0.648206937095826"/>
        </c:manualLayout>
      </c:layout>
      <c:barChart>
        <c:barDir val="col"/>
        <c:grouping val="clustered"/>
        <c:varyColors val="0"/>
        <c:ser>
          <c:idx val="3"/>
          <c:order val="0"/>
          <c:tx>
            <c:strRef>
              <c:f>'[RAN1#110b-e SLS仿真数据.xlsx]Sheet1'!$O$21</c:f>
              <c:strCache>
                <c:ptCount val="1"/>
                <c:pt idx="0">
                  <c:v>ESG ssbsib-less</c:v>
                </c:pt>
              </c:strCache>
            </c:strRef>
          </c:tx>
          <c:spPr>
            <a:solidFill>
              <a:schemeClr val="accent3"/>
            </a:solidFill>
            <a:ln>
              <a:noFill/>
            </a:ln>
            <a:effectLst/>
          </c:spPr>
          <c:invertIfNegative val="0"/>
          <c:dLbls>
            <c:dLbl>
              <c:idx val="0"/>
              <c:layout>
                <c:manualLayout>
                  <c:x val="0"/>
                  <c:y val="0.013227513227513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'[RAN1#110b-e SLS仿真数据.xlsx]Sheet1'!$M$22:$M$26</c:f>
              <c:numCache>
                <c:formatCode>0%</c:formatCode>
                <c:ptCount val="4"/>
                <c:pt idx="0" c:formatCode="0%">
                  <c:v>0.05</c:v>
                </c:pt>
                <c:pt idx="1" c:formatCode="0%">
                  <c:v>0.1</c:v>
                </c:pt>
                <c:pt idx="2" c:formatCode="0%">
                  <c:v>0.15</c:v>
                </c:pt>
                <c:pt idx="3" c:formatCode="0%">
                  <c:v>0.4</c:v>
                </c:pt>
              </c:numCache>
            </c:numRef>
          </c:cat>
          <c:val>
            <c:numRef>
              <c:f>Sheet1!$O$22:$O$26</c:f>
              <c:numCache>
                <c:formatCode>0.00_);[Red]\(0.00\)</c:formatCode>
                <c:ptCount val="4"/>
                <c:pt idx="0">
                  <c:v>0.455444982255056</c:v>
                </c:pt>
                <c:pt idx="1">
                  <c:v>0.354721835189306</c:v>
                </c:pt>
                <c:pt idx="2">
                  <c:v>0.25554963435807</c:v>
                </c:pt>
                <c:pt idx="3">
                  <c:v>0.149187043575378</c:v>
                </c:pt>
              </c:numCache>
            </c:numRef>
          </c:val>
        </c:ser>
        <c:dLbls>
          <c:showLegendKey val="0"/>
          <c:showVal val="1"/>
          <c:showCatName val="0"/>
          <c:showSerName val="0"/>
          <c:showPercent val="0"/>
          <c:showBubbleSize val="0"/>
        </c:dLbls>
        <c:gapWidth val="219"/>
        <c:axId val="57153765"/>
        <c:axId val="450749311"/>
      </c:barChart>
      <c:lineChart>
        <c:grouping val="standard"/>
        <c:varyColors val="0"/>
        <c:ser>
          <c:idx val="0"/>
          <c:order val="1"/>
          <c:tx>
            <c:strRef>
              <c:f>'[RAN1#110b-e SLS仿真数据.xlsx]Sheet1'!$P$21</c:f>
              <c:strCache>
                <c:ptCount val="1"/>
                <c:pt idx="0">
                  <c:v>UPT gain ssbsib-less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'[RAN1#110b-e SLS仿真数据.xlsx]Sheet1'!$M$22:$M$26</c:f>
              <c:numCache>
                <c:formatCode>0%</c:formatCode>
                <c:ptCount val="4"/>
                <c:pt idx="0" c:formatCode="0%">
                  <c:v>0.05</c:v>
                </c:pt>
                <c:pt idx="1" c:formatCode="0%">
                  <c:v>0.1</c:v>
                </c:pt>
                <c:pt idx="2" c:formatCode="0%">
                  <c:v>0.15</c:v>
                </c:pt>
                <c:pt idx="3" c:formatCode="0%">
                  <c:v>0.4</c:v>
                </c:pt>
              </c:numCache>
            </c:numRef>
          </c:cat>
          <c:val>
            <c:numRef>
              <c:f>Sheet1!$P$22:$P$26</c:f>
              <c:numCache>
                <c:formatCode>0.00_);[Red]\(0.00\)</c:formatCode>
                <c:ptCount val="4"/>
                <c:pt idx="0">
                  <c:v>0.05994339018354</c:v>
                </c:pt>
                <c:pt idx="1">
                  <c:v>0.06417426756065</c:v>
                </c:pt>
                <c:pt idx="2">
                  <c:v>0.0827311720777499</c:v>
                </c:pt>
                <c:pt idx="3">
                  <c:v>0.11657865992333</c:v>
                </c:pt>
              </c:numCache>
            </c:numRef>
          </c:val>
          <c:smooth val="0"/>
        </c:ser>
        <c:dLbls>
          <c:showLegendKey val="0"/>
          <c:showVal val="1"/>
          <c:showCatName val="0"/>
          <c:showSerName val="0"/>
          <c:showPercent val="0"/>
          <c:showBubbleSize val="0"/>
        </c:dLbls>
        <c:marker val="1"/>
        <c:smooth val="0"/>
        <c:axId val="792809053"/>
        <c:axId val="152241234"/>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endParaRPr lang="en-US" altLang="zh-CN" sz="700"/>
              </a:p>
            </c:rich>
          </c:tx>
          <c:layout>
            <c:manualLayout>
              <c:xMode val="edge"/>
              <c:yMode val="edge"/>
              <c:x val="0.496774539625845"/>
              <c:y val="0.864899458997606"/>
            </c:manualLayout>
          </c:layout>
          <c:overlay val="0"/>
          <c:spPr>
            <a:noFill/>
            <a:ln>
              <a:noFill/>
            </a:ln>
            <a:effectLst/>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7153765"/>
        <c:crosses val="autoZero"/>
        <c:crossBetween val="between"/>
        <c:majorUnit val="0.5"/>
      </c:valAx>
      <c:catAx>
        <c:axId val="792809053"/>
        <c:scaling>
          <c:orientation val="minMax"/>
        </c:scaling>
        <c:delete val="1"/>
        <c:axPos val="b"/>
        <c:numFmt formatCode="0%"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52241234"/>
        <c:crosses val="autoZero"/>
        <c:auto val="1"/>
        <c:lblAlgn val="ctr"/>
        <c:lblOffset val="100"/>
        <c:noMultiLvlLbl val="0"/>
      </c:catAx>
      <c:valAx>
        <c:axId val="152241234"/>
        <c:scaling>
          <c:orientation val="minMax"/>
          <c:max val="0.12"/>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792809053"/>
        <c:crosses val="max"/>
        <c:crossBetween val="between"/>
        <c:majorUnit val="0.1"/>
      </c:valAx>
      <c:spPr>
        <a:noFill/>
        <a:ln>
          <a:noFill/>
        </a:ln>
        <a:effectLst/>
      </c:spPr>
    </c:plotArea>
    <c:legend>
      <c:legendPos val="b"/>
      <c:layout>
        <c:manualLayout>
          <c:xMode val="edge"/>
          <c:yMode val="edge"/>
          <c:x val="0.231434115364262"/>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TDD</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142511890988559"/>
          <c:y val="0.144403730846103"/>
          <c:w val="0.742486180743026"/>
          <c:h val="0.648301132578281"/>
        </c:manualLayout>
      </c:layout>
      <c:barChart>
        <c:barDir val="col"/>
        <c:grouping val="clustered"/>
        <c:varyColors val="0"/>
        <c:ser>
          <c:idx val="1"/>
          <c:order val="0"/>
          <c:tx>
            <c:strRef>
              <c:f>'[RAN1#110b-e SLS仿真数据.xlsx]Sheet1'!$C$12</c:f>
              <c:strCache>
                <c:ptCount val="1"/>
                <c:pt idx="0">
                  <c:v>ESG ssb-less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'[RAN1#110b-e SLS仿真数据.xlsx]Sheet1'!$A$13:$A$16</c:f>
              <c:numCache>
                <c:formatCode>0%</c:formatCode>
                <c:ptCount val="3"/>
                <c:pt idx="0" c:formatCode="0%">
                  <c:v>0.05</c:v>
                </c:pt>
                <c:pt idx="1" c:formatCode="0%">
                  <c:v>0.1</c:v>
                </c:pt>
                <c:pt idx="2" c:formatCode="0%">
                  <c:v>0.25</c:v>
                </c:pt>
              </c:numCache>
            </c:numRef>
          </c:cat>
          <c:val>
            <c:numRef>
              <c:f>Sheet1!$C$13:$C$16</c:f>
              <c:numCache>
                <c:formatCode>General</c:formatCode>
                <c:ptCount val="3"/>
                <c:pt idx="0">
                  <c:v>0.148165723934247</c:v>
                </c:pt>
                <c:pt idx="1">
                  <c:v>0.0846072991961443</c:v>
                </c:pt>
                <c:pt idx="2">
                  <c:v>0.049679714260552</c:v>
                </c:pt>
              </c:numCache>
            </c:numRef>
          </c:val>
        </c:ser>
        <c:dLbls>
          <c:showLegendKey val="0"/>
          <c:showVal val="1"/>
          <c:showCatName val="0"/>
          <c:showSerName val="0"/>
          <c:showPercent val="0"/>
          <c:showBubbleSize val="0"/>
        </c:dLbls>
        <c:gapWidth val="219"/>
        <c:axId val="57153765"/>
        <c:axId val="450749311"/>
      </c:barChart>
      <c:lineChart>
        <c:grouping val="standard"/>
        <c:varyColors val="0"/>
        <c:ser>
          <c:idx val="2"/>
          <c:order val="1"/>
          <c:tx>
            <c:strRef>
              <c:f>'[RAN1#110b-e SLS仿真数据.xlsx]Sheet1'!$D$12</c:f>
              <c:strCache>
                <c:ptCount val="1"/>
                <c:pt idx="0">
                  <c:v>UPT gain ssb-less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'[RAN1#110b-e SLS仿真数据.xlsx]Sheet1'!$A$13:$A$16</c:f>
              <c:numCache>
                <c:formatCode>0%</c:formatCode>
                <c:ptCount val="3"/>
                <c:pt idx="0" c:formatCode="0%">
                  <c:v>0.05</c:v>
                </c:pt>
                <c:pt idx="1" c:formatCode="0%">
                  <c:v>0.1</c:v>
                </c:pt>
                <c:pt idx="2" c:formatCode="0%">
                  <c:v>0.25</c:v>
                </c:pt>
              </c:numCache>
            </c:numRef>
          </c:cat>
          <c:val>
            <c:numRef>
              <c:f>Sheet1!$D$13:$D$16</c:f>
              <c:numCache>
                <c:formatCode>General</c:formatCode>
                <c:ptCount val="3"/>
                <c:pt idx="0">
                  <c:v>0.015607931089</c:v>
                </c:pt>
                <c:pt idx="1">
                  <c:v>0.01550785325464</c:v>
                </c:pt>
                <c:pt idx="2">
                  <c:v>0.0131991732618399</c:v>
                </c:pt>
              </c:numCache>
            </c:numRef>
          </c:val>
          <c:smooth val="0"/>
        </c:ser>
        <c:dLbls>
          <c:showLegendKey val="0"/>
          <c:showVal val="1"/>
          <c:showCatName val="0"/>
          <c:showSerName val="0"/>
          <c:showPercent val="0"/>
          <c:showBubbleSize val="0"/>
        </c:dLbls>
        <c:marker val="1"/>
        <c:smooth val="0"/>
        <c:axId val="282493222"/>
        <c:axId val="846457777"/>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endParaRPr lang="en-US" altLang="zh-CN" sz="700"/>
              </a:p>
            </c:rich>
          </c:tx>
          <c:layout>
            <c:manualLayout>
              <c:xMode val="edge"/>
              <c:yMode val="edge"/>
              <c:x val="0.489235665784133"/>
              <c:y val="0.867895927504337"/>
            </c:manualLayout>
          </c:layout>
          <c:overlay val="0"/>
          <c:spPr>
            <a:noFill/>
            <a:ln>
              <a:noFill/>
            </a:ln>
            <a:effectLst/>
          </c:spPr>
        </c:title>
        <c:numFmt formatCode="0%"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7153765"/>
        <c:crosses val="autoZero"/>
        <c:crossBetween val="between"/>
        <c:majorUnit val="0.5"/>
      </c:valAx>
      <c:catAx>
        <c:axId val="282493222"/>
        <c:scaling>
          <c:orientation val="minMax"/>
        </c:scaling>
        <c:delete val="1"/>
        <c:axPos val="b"/>
        <c:numFmt formatCode="0%"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46457777"/>
        <c:crosses val="autoZero"/>
        <c:auto val="1"/>
        <c:lblAlgn val="ctr"/>
        <c:lblOffset val="100"/>
        <c:noMultiLvlLbl val="0"/>
      </c:catAx>
      <c:valAx>
        <c:axId val="846457777"/>
        <c:scaling>
          <c:orientation val="minMax"/>
          <c:max val="0.024"/>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282493222"/>
        <c:crosses val="max"/>
        <c:crossBetween val="between"/>
        <c:majorUnit val="0.01"/>
      </c:valAx>
      <c:spPr>
        <a:noFill/>
        <a:ln>
          <a:noFill/>
        </a:ln>
        <a:effectLst/>
      </c:spPr>
    </c:plotArea>
    <c:legend>
      <c:legendPos val="b"/>
      <c:layout>
        <c:manualLayout>
          <c:xMode val="edge"/>
          <c:yMode val="edge"/>
          <c:x val="0.256129828893985"/>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ratio for FDD</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142511890988559"/>
          <c:y val="0.144403730846103"/>
          <c:w val="0.742486180743026"/>
          <c:h val="0.648301132578281"/>
        </c:manualLayout>
      </c:layout>
      <c:barChart>
        <c:barDir val="col"/>
        <c:grouping val="clustered"/>
        <c:varyColors val="0"/>
        <c:ser>
          <c:idx val="3"/>
          <c:order val="0"/>
          <c:tx>
            <c:strRef>
              <c:f>'[RAN1#110b-e SLS仿真数据.xlsx]Sheet1'!$O$12</c:f>
              <c:strCache>
                <c:ptCount val="1"/>
                <c:pt idx="0">
                  <c:v>ESG ssb-less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'[RAN1#110b-e SLS仿真数据.xlsx]Sheet1'!$M$13:$M$16</c:f>
              <c:numCache>
                <c:formatCode>0%</c:formatCode>
                <c:ptCount val="3"/>
                <c:pt idx="0" c:formatCode="0%">
                  <c:v>0.05</c:v>
                </c:pt>
                <c:pt idx="1" c:formatCode="0%">
                  <c:v>0.1</c:v>
                </c:pt>
                <c:pt idx="2" c:formatCode="0%">
                  <c:v>0.15</c:v>
                </c:pt>
              </c:numCache>
            </c:numRef>
          </c:cat>
          <c:val>
            <c:numRef>
              <c:f>Sheet1!$O$13:$O$16</c:f>
              <c:numCache>
                <c:formatCode>0.00_);[Red]\(0.00\)</c:formatCode>
                <c:ptCount val="3"/>
                <c:pt idx="0">
                  <c:v>0.264151979703783</c:v>
                </c:pt>
                <c:pt idx="1">
                  <c:v>0.162471472561566</c:v>
                </c:pt>
                <c:pt idx="2">
                  <c:v>0.0936509781907154</c:v>
                </c:pt>
              </c:numCache>
            </c:numRef>
          </c:val>
        </c:ser>
        <c:dLbls>
          <c:showLegendKey val="0"/>
          <c:showVal val="0"/>
          <c:showCatName val="0"/>
          <c:showSerName val="0"/>
          <c:showPercent val="0"/>
          <c:showBubbleSize val="0"/>
        </c:dLbls>
        <c:gapWidth val="219"/>
        <c:axId val="57153765"/>
        <c:axId val="450749311"/>
      </c:barChart>
      <c:lineChart>
        <c:grouping val="standard"/>
        <c:varyColors val="0"/>
        <c:ser>
          <c:idx val="0"/>
          <c:order val="1"/>
          <c:tx>
            <c:strRef>
              <c:f>'[RAN1#110b-e SLS仿真数据.xlsx]Sheet1'!$P$12</c:f>
              <c:strCache>
                <c:ptCount val="1"/>
                <c:pt idx="0">
                  <c:v>UPT gain ssb-less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'[RAN1#110b-e SLS仿真数据.xlsx]Sheet1'!$M$13:$M$16</c:f>
              <c:numCache>
                <c:formatCode>0%</c:formatCode>
                <c:ptCount val="3"/>
                <c:pt idx="0" c:formatCode="0%">
                  <c:v>0.05</c:v>
                </c:pt>
                <c:pt idx="1" c:formatCode="0%">
                  <c:v>0.1</c:v>
                </c:pt>
                <c:pt idx="2" c:formatCode="0%">
                  <c:v>0.15</c:v>
                </c:pt>
              </c:numCache>
            </c:numRef>
          </c:cat>
          <c:val>
            <c:numRef>
              <c:f>Sheet1!$P$13:$P$16</c:f>
              <c:numCache>
                <c:formatCode>0.00_);[Red]\(0.00\)</c:formatCode>
                <c:ptCount val="3"/>
                <c:pt idx="0">
                  <c:v>0.03564367048119</c:v>
                </c:pt>
                <c:pt idx="1">
                  <c:v>0.03261429658563</c:v>
                </c:pt>
                <c:pt idx="2">
                  <c:v>0.0408850296477801</c:v>
                </c:pt>
              </c:numCache>
            </c:numRef>
          </c:val>
          <c:smooth val="0"/>
        </c:ser>
        <c:dLbls>
          <c:showLegendKey val="0"/>
          <c:showVal val="1"/>
          <c:showCatName val="0"/>
          <c:showSerName val="0"/>
          <c:showPercent val="0"/>
          <c:showBubbleSize val="0"/>
        </c:dLbls>
        <c:marker val="1"/>
        <c:smooth val="0"/>
        <c:axId val="787867220"/>
        <c:axId val="566982943"/>
      </c:lineChart>
      <c:catAx>
        <c:axId val="57153765"/>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endParaRPr lang="en-US" altLang="zh-CN" sz="700"/>
              </a:p>
            </c:rich>
          </c:tx>
          <c:layout>
            <c:manualLayout>
              <c:xMode val="edge"/>
              <c:yMode val="edge"/>
              <c:x val="0.489235665784133"/>
              <c:y val="0.867895927504337"/>
            </c:manualLayout>
          </c:layout>
          <c:overlay val="0"/>
          <c:spPr>
            <a:noFill/>
            <a:ln>
              <a:noFill/>
            </a:ln>
            <a:effectLst/>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450749311"/>
        <c:crosses val="autoZero"/>
        <c:auto val="1"/>
        <c:lblAlgn val="ctr"/>
        <c:lblOffset val="100"/>
        <c:noMultiLvlLbl val="0"/>
      </c:catAx>
      <c:valAx>
        <c:axId val="450749311"/>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7153765"/>
        <c:crosses val="autoZero"/>
        <c:crossBetween val="between"/>
        <c:majorUnit val="0.5"/>
      </c:valAx>
      <c:catAx>
        <c:axId val="787867220"/>
        <c:scaling>
          <c:orientation val="minMax"/>
        </c:scaling>
        <c:delete val="1"/>
        <c:axPos val="b"/>
        <c:numFmt formatCode="0%"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66982943"/>
        <c:crosses val="autoZero"/>
        <c:auto val="1"/>
        <c:lblAlgn val="ctr"/>
        <c:lblOffset val="100"/>
        <c:noMultiLvlLbl val="0"/>
      </c:catAx>
      <c:valAx>
        <c:axId val="566982943"/>
        <c:scaling>
          <c:orientation val="minMax"/>
          <c:max val="0.058"/>
          <c:min val="0"/>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gain (%)</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787867220"/>
        <c:crosses val="max"/>
        <c:crossBetween val="between"/>
        <c:majorUnit val="0.05"/>
      </c:valAx>
      <c:spPr>
        <a:noFill/>
        <a:ln>
          <a:noFill/>
        </a:ln>
        <a:effectLst/>
      </c:spPr>
    </c:plotArea>
    <c:legend>
      <c:legendPos val="b"/>
      <c:layout>
        <c:manualLayout>
          <c:xMode val="edge"/>
          <c:yMode val="edge"/>
          <c:x val="0.256129828893985"/>
          <c:y val="0.91005291005291"/>
        </c:manualLayout>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loss</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115575939319104"/>
          <c:y val="0.144432194046307"/>
          <c:w val="0.780490386311519"/>
          <c:h val="0.648467475192944"/>
        </c:manualLayout>
      </c:layout>
      <c:barChart>
        <c:barDir val="col"/>
        <c:grouping val="clustered"/>
        <c:varyColors val="0"/>
        <c:ser>
          <c:idx val="1"/>
          <c:order val="1"/>
          <c:tx>
            <c:strRef>
              <c:f>'[SLS results for RAN1#110-0922.xlsx]提案画图'!$C$31</c:f>
              <c:strCache>
                <c:ptCount val="1"/>
                <c:pt idx="0">
                  <c:v>ESG 32T</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'[SLS results for RAN1#110-0922.xlsx]提案画图'!$A$32:$A$34</c:f>
              <c:numCache>
                <c:formatCode>0%</c:formatCode>
                <c:ptCount val="3"/>
                <c:pt idx="0" c:formatCode="0%">
                  <c:v>0.1</c:v>
                </c:pt>
                <c:pt idx="1" c:formatCode="0%">
                  <c:v>0.2</c:v>
                </c:pt>
                <c:pt idx="2" c:formatCode="0%">
                  <c:v>0.35</c:v>
                </c:pt>
              </c:numCache>
            </c:numRef>
          </c:cat>
          <c:val>
            <c:numRef>
              <c:f>'[SLS results for RAN1#110-0922.xlsx]提案画图'!$C$32:$C$34</c:f>
              <c:numCache>
                <c:formatCode>0.00_);[Red]\(0.00\)</c:formatCode>
                <c:ptCount val="3"/>
                <c:pt idx="0">
                  <c:v>0.177426290467814</c:v>
                </c:pt>
                <c:pt idx="1">
                  <c:v>0.23987838827131</c:v>
                </c:pt>
                <c:pt idx="2">
                  <c:v>0.264024340993958</c:v>
                </c:pt>
              </c:numCache>
            </c:numRef>
          </c:val>
        </c:ser>
        <c:dLbls>
          <c:showLegendKey val="0"/>
          <c:showVal val="0"/>
          <c:showCatName val="0"/>
          <c:showSerName val="0"/>
          <c:showPercent val="0"/>
          <c:showBubbleSize val="0"/>
        </c:dLbls>
        <c:gapWidth val="219"/>
        <c:axId val="-1137769456"/>
        <c:axId val="-1137768912"/>
      </c:barChart>
      <c:lineChart>
        <c:grouping val="standard"/>
        <c:varyColors val="0"/>
        <c:dLbls>
          <c:showLegendKey val="0"/>
          <c:showVal val="1"/>
          <c:showCatName val="0"/>
          <c:showSerName val="0"/>
          <c:showPercent val="0"/>
          <c:showBubbleSize val="0"/>
        </c:dLbls>
        <c:marker val="1"/>
        <c:smooth val="0"/>
        <c:axId val="-1137769456"/>
        <c:axId val="-1137768912"/>
        <c:extLst>
          <c:ext xmlns:c15="http://schemas.microsoft.com/office/drawing/2012/chart" uri="{02D57815-91ED-43cb-92C2-25804820EDAC}">
            <c15:filteredLineSeries>
              <c15:ser>
                <c:idx val="0"/>
                <c:order val="0"/>
                <c:tx>
                  <c:strRef>
                    <c:extLst>
                      <c:ext uri="{02D57815-91ED-43cb-92C2-25804820EDAC}">
                        <c15:formulaRef>
                          <c15:sqref>'[SLS results for RAN1#110-0922.xlsx]提案画图'!$B$31</c15:sqref>
                        </c15:formulaRef>
                      </c:ext>
                    </c:extLst>
                    <c:strCache>
                      <c:ptCount val="1"/>
                      <c:pt idx="0">
                        <c:v>RU 64T</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ullRef>
                          <c15:sqref/>
                        </c15:fullRef>
                        <c15:formulaRef>
                          <c15:sqref>'[SLS results for RAN1#110-0922.xlsx]提案画图'!$A$32:$A$34</c15:sqref>
                        </c15:formulaRef>
                      </c:ext>
                    </c:extLst>
                    <c:numCache>
                      <c:ptCount val="0"/>
                    </c:numCache>
                  </c:numRef>
                </c:cat>
                <c:val>
                  <c:numRef>
                    <c:extLst>
                      <c:ext uri="{02D57815-91ED-43cb-92C2-25804820EDAC}">
                        <c15:formulaRef>
                          <c15:sqref>{0.0959367379546165,0.214724808931351,0.338864833116531}</c15:sqref>
                        </c15:formulaRef>
                      </c:ext>
                    </c:extLst>
                    <c:numCache>
                      <c:formatCode>General</c:formatCode>
                      <c:ptCount val="3"/>
                      <c:pt idx="0">
                        <c:v>0.0959367379546165</c:v>
                      </c:pt>
                      <c:pt idx="1">
                        <c:v>0.214724808931351</c:v>
                      </c:pt>
                      <c:pt idx="2">
                        <c:v>0.338864833116531</c:v>
                      </c:pt>
                    </c:numCache>
                  </c:numRef>
                </c:val>
                <c:smooth val="0"/>
              </c15:ser>
            </c15:filteredLineSeries>
          </c:ext>
        </c:extLst>
      </c:lineChart>
      <c:lineChart>
        <c:grouping val="standard"/>
        <c:varyColors val="0"/>
        <c:ser>
          <c:idx val="2"/>
          <c:order val="2"/>
          <c:tx>
            <c:strRef>
              <c:f>'[SLS results for RAN1#110-0922.xlsx]提案画图'!$D$31</c:f>
              <c:strCache>
                <c:ptCount val="1"/>
                <c:pt idx="0">
                  <c:v>UPT loss 32T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'[SLS results for RAN1#110-0922.xlsx]提案画图'!$A$32:$A$34</c:f>
              <c:numCache>
                <c:formatCode>0%</c:formatCode>
                <c:ptCount val="3"/>
                <c:pt idx="0" c:formatCode="0%">
                  <c:v>0.1</c:v>
                </c:pt>
                <c:pt idx="1" c:formatCode="0%">
                  <c:v>0.2</c:v>
                </c:pt>
                <c:pt idx="2" c:formatCode="0%">
                  <c:v>0.35</c:v>
                </c:pt>
              </c:numCache>
            </c:numRef>
          </c:cat>
          <c:val>
            <c:numRef>
              <c:f>'[SLS results for RAN1#110-0922.xlsx]提案画图'!$D$32:$D$34</c:f>
              <c:numCache>
                <c:formatCode>0.00_);[Red]\(0.00\)</c:formatCode>
                <c:ptCount val="3"/>
                <c:pt idx="0">
                  <c:v>0.0368947466379901</c:v>
                </c:pt>
                <c:pt idx="1">
                  <c:v>0.0737870358629615</c:v>
                </c:pt>
                <c:pt idx="2" c:formatCode="General">
                  <c:v>0.109245413183269</c:v>
                </c:pt>
              </c:numCache>
            </c:numRef>
          </c:val>
          <c:smooth val="0"/>
        </c:ser>
        <c:dLbls>
          <c:showLegendKey val="0"/>
          <c:showVal val="1"/>
          <c:showCatName val="0"/>
          <c:showSerName val="0"/>
          <c:showPercent val="0"/>
          <c:showBubbleSize val="0"/>
        </c:dLbls>
        <c:marker val="1"/>
        <c:smooth val="0"/>
        <c:axId val="-1137767824"/>
        <c:axId val="-1137765104"/>
      </c:lineChart>
      <c:catAx>
        <c:axId val="-1137769456"/>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endParaRPr lang="en-US" altLang="zh-CN" sz="700"/>
              </a:p>
            </c:rich>
          </c:tx>
          <c:layout>
            <c:manualLayout>
              <c:xMode val="edge"/>
              <c:yMode val="edge"/>
              <c:x val="0.521582122780827"/>
              <c:y val="0.862625590395507"/>
            </c:manualLayout>
          </c:layout>
          <c:overlay val="0"/>
          <c:spPr>
            <a:noFill/>
            <a:ln>
              <a:noFill/>
            </a:ln>
            <a:effectLst/>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37768912"/>
        <c:crosses val="autoZero"/>
        <c:auto val="1"/>
        <c:lblAlgn val="ctr"/>
        <c:lblOffset val="100"/>
        <c:noMultiLvlLbl val="0"/>
      </c:catAx>
      <c:valAx>
        <c:axId val="-1137768912"/>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37769456"/>
        <c:crosses val="autoZero"/>
        <c:crossBetween val="between"/>
        <c:majorUnit val="0.5"/>
      </c:valAx>
      <c:catAx>
        <c:axId val="-1137767824"/>
        <c:scaling>
          <c:orientation val="minMax"/>
        </c:scaling>
        <c:delete val="1"/>
        <c:axPos val="b"/>
        <c:numFmt formatCode="0%"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37765104"/>
        <c:crosses val="autoZero"/>
        <c:auto val="1"/>
        <c:lblAlgn val="ctr"/>
        <c:lblOffset val="100"/>
        <c:noMultiLvlLbl val="0"/>
      </c:catAx>
      <c:valAx>
        <c:axId val="-1137765104"/>
        <c:scaling>
          <c:orientation val="minMax"/>
          <c:max val="0.2"/>
          <c:min val="-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loss (%)</a:t>
                </a:r>
                <a:endParaRPr lang="en-US" altLang="zh-CN" sz="800"/>
              </a:p>
            </c:rich>
          </c:tx>
          <c:layout>
            <c:manualLayout>
              <c:xMode val="edge"/>
              <c:yMode val="edge"/>
              <c:x val="0.96160307175426"/>
              <c:y val="0.3748687664042"/>
            </c:manualLayout>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37767824"/>
        <c:crosses val="max"/>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manualLayout>
          <c:xMode val="edge"/>
          <c:yMode val="edge"/>
          <c:x val="0.332142857142857"/>
          <c:y val="0.927837089758798"/>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ES gain &amp; UPT loss</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115712012728719"/>
          <c:y val="0.144457547169811"/>
          <c:w val="0.77673031026253"/>
          <c:h val="0.648349056603774"/>
        </c:manualLayout>
      </c:layout>
      <c:barChart>
        <c:barDir val="col"/>
        <c:grouping val="clustered"/>
        <c:varyColors val="0"/>
        <c:ser>
          <c:idx val="1"/>
          <c:order val="1"/>
          <c:tx>
            <c:strRef>
              <c:f>'[SLS results for RAN1#110-0922.xlsx]提案画图'!$C$39</c:f>
              <c:strCache>
                <c:ptCount val="1"/>
                <c:pt idx="0">
                  <c:v>ESG 64T-3dB</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'[SLS results for RAN1#110-0922.xlsx]提案画图'!$A$40:$A$43</c:f>
              <c:numCache>
                <c:formatCode>0%</c:formatCode>
                <c:ptCount val="3"/>
                <c:pt idx="0" c:formatCode="0%">
                  <c:v>0.1</c:v>
                </c:pt>
                <c:pt idx="1" c:formatCode="0%">
                  <c:v>0.25</c:v>
                </c:pt>
                <c:pt idx="2" c:formatCode="0%">
                  <c:v>0.4</c:v>
                </c:pt>
              </c:numCache>
            </c:numRef>
          </c:cat>
          <c:val>
            <c:numRef>
              <c:f>提案画图!$C$40:$C$43</c:f>
              <c:numCache>
                <c:formatCode>General</c:formatCode>
                <c:ptCount val="3"/>
                <c:pt idx="0">
                  <c:v>0.0944337458908149</c:v>
                </c:pt>
                <c:pt idx="1">
                  <c:v>0.165516197118623</c:v>
                </c:pt>
                <c:pt idx="2">
                  <c:v>0.209982234461835</c:v>
                </c:pt>
              </c:numCache>
            </c:numRef>
          </c:val>
        </c:ser>
        <c:dLbls>
          <c:showLegendKey val="0"/>
          <c:showVal val="0"/>
          <c:showCatName val="0"/>
          <c:showSerName val="0"/>
          <c:showPercent val="0"/>
          <c:showBubbleSize val="0"/>
        </c:dLbls>
        <c:gapWidth val="219"/>
        <c:axId val="-1359059376"/>
        <c:axId val="-1359057744"/>
      </c:barChart>
      <c:lineChart>
        <c:grouping val="standard"/>
        <c:varyColors val="0"/>
        <c:dLbls>
          <c:showLegendKey val="0"/>
          <c:showVal val="1"/>
          <c:showCatName val="0"/>
          <c:showSerName val="0"/>
          <c:showPercent val="0"/>
          <c:showBubbleSize val="0"/>
        </c:dLbls>
        <c:marker val="1"/>
        <c:smooth val="0"/>
        <c:axId val="-1359059376"/>
        <c:axId val="-1359057744"/>
        <c:extLst>
          <c:ext xmlns:c15="http://schemas.microsoft.com/office/drawing/2012/chart" uri="{02D57815-91ED-43cb-92C2-25804820EDAC}">
            <c15:filteredLineSeries>
              <c15:ser>
                <c:idx val="0"/>
                <c:order val="0"/>
                <c:tx>
                  <c:strRef>
                    <c:extLst>
                      <c:ext uri="{02D57815-91ED-43cb-92C2-25804820EDAC}">
                        <c15:formulaRef>
                          <c15:sqref>'[SLS results for RAN1#110-0922.xlsx]提案画图'!$B$39</c15:sqref>
                        </c15:formulaRef>
                      </c:ext>
                    </c:extLst>
                    <c:strCache>
                      <c:ptCount val="1"/>
                      <c:pt idx="0">
                        <c:v>RU 64T</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ullRef>
                          <c15:sqref/>
                        </c15:fullRef>
                        <c15:formulaRef>
                          <c15:sqref>'[SLS results for RAN1#110-0922.xlsx]提案画图'!$A$40:$A$43</c15:sqref>
                        </c15:formulaRef>
                      </c:ext>
                    </c:extLst>
                    <c:numCache>
                      <c:ptCount val="0"/>
                    </c:numCache>
                  </c:numRef>
                </c:cat>
                <c:val>
                  <c:numRef>
                    <c:extLst>
                      <c:ext uri="{02D57815-91ED-43cb-92C2-25804820EDAC}">
                        <c15:formulaRef>
                          <c15:sqref>提案画图!$B$40:$B$43</c15:sqref>
                        </c15:formulaRef>
                      </c:ext>
                    </c:extLst>
                    <c:numCache>
                      <c:formatCode>0.00_);[Red]\(0.00\)</c:formatCode>
                      <c:ptCount val="3"/>
                      <c:pt idx="0">
                        <c:v>0.0958927050232887</c:v>
                      </c:pt>
                      <c:pt idx="1">
                        <c:v>0.236643821001053</c:v>
                      </c:pt>
                      <c:pt idx="2">
                        <c:v>0.387158453464508</c:v>
                      </c:pt>
                    </c:numCache>
                  </c:numRef>
                </c:val>
                <c:smooth val="0"/>
              </c15:ser>
            </c15:filteredLineSeries>
          </c:ext>
        </c:extLst>
      </c:lineChart>
      <c:lineChart>
        <c:grouping val="standard"/>
        <c:varyColors val="0"/>
        <c:ser>
          <c:idx val="2"/>
          <c:order val="2"/>
          <c:tx>
            <c:strRef>
              <c:f>'[SLS results for RAN1#110-0922.xlsx]提案画图'!$D$39</c:f>
              <c:strCache>
                <c:ptCount val="1"/>
                <c:pt idx="0">
                  <c:v>UPT loss 64T-3dB</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'[SLS results for RAN1#110-0922.xlsx]提案画图'!$A$40:$A$43</c:f>
              <c:numCache>
                <c:formatCode>0%</c:formatCode>
                <c:ptCount val="3"/>
                <c:pt idx="0" c:formatCode="0%">
                  <c:v>0.1</c:v>
                </c:pt>
                <c:pt idx="1" c:formatCode="0%">
                  <c:v>0.25</c:v>
                </c:pt>
                <c:pt idx="2" c:formatCode="0%">
                  <c:v>0.4</c:v>
                </c:pt>
              </c:numCache>
            </c:numRef>
          </c:cat>
          <c:val>
            <c:numRef>
              <c:f>提案画图!$D$40:$D$43</c:f>
              <c:numCache>
                <c:formatCode>General</c:formatCode>
                <c:ptCount val="3"/>
                <c:pt idx="0">
                  <c:v>0.0412312490521285</c:v>
                </c:pt>
                <c:pt idx="1">
                  <c:v>0.041079750342882</c:v>
                </c:pt>
                <c:pt idx="2">
                  <c:v>0.0706021785597928</c:v>
                </c:pt>
              </c:numCache>
            </c:numRef>
          </c:val>
          <c:smooth val="0"/>
        </c:ser>
        <c:dLbls>
          <c:showLegendKey val="0"/>
          <c:showVal val="1"/>
          <c:showCatName val="0"/>
          <c:showSerName val="0"/>
          <c:showPercent val="0"/>
          <c:showBubbleSize val="0"/>
        </c:dLbls>
        <c:marker val="1"/>
        <c:smooth val="0"/>
        <c:axId val="-1359069712"/>
        <c:axId val="-1359068624"/>
      </c:lineChart>
      <c:catAx>
        <c:axId val="-1359059376"/>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RU</a:t>
                </a:r>
                <a:endParaRPr lang="en-US" altLang="zh-CN" sz="700"/>
              </a:p>
            </c:rich>
          </c:tx>
          <c:layout>
            <c:manualLayout>
              <c:xMode val="edge"/>
              <c:yMode val="edge"/>
              <c:x val="0.476431980906921"/>
              <c:y val="0.862028301886792"/>
            </c:manualLayout>
          </c:layout>
          <c:overlay val="0"/>
          <c:spPr>
            <a:noFill/>
            <a:ln>
              <a:noFill/>
            </a:ln>
            <a:effectLst/>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59057744"/>
        <c:crosses val="autoZero"/>
        <c:auto val="1"/>
        <c:lblAlgn val="ctr"/>
        <c:lblOffset val="100"/>
        <c:noMultiLvlLbl val="0"/>
      </c:catAx>
      <c:valAx>
        <c:axId val="-1359057744"/>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59059376"/>
        <c:crosses val="autoZero"/>
        <c:crossBetween val="between"/>
        <c:majorUnit val="0.5"/>
      </c:valAx>
      <c:catAx>
        <c:axId val="-1359069712"/>
        <c:scaling>
          <c:orientation val="minMax"/>
        </c:scaling>
        <c:delete val="1"/>
        <c:axPos val="b"/>
        <c:numFmt formatCode="0%"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59068624"/>
        <c:crosses val="autoZero"/>
        <c:auto val="1"/>
        <c:lblAlgn val="ctr"/>
        <c:lblOffset val="100"/>
        <c:noMultiLvlLbl val="0"/>
      </c:catAx>
      <c:valAx>
        <c:axId val="-1359068624"/>
        <c:scaling>
          <c:orientation val="minMax"/>
          <c:max val="0.2"/>
          <c:min val="-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UPT loss (%)</a:t>
                </a:r>
                <a:endParaRPr lang="en-US" altLang="zh-CN" sz="800"/>
              </a:p>
            </c:rich>
          </c:tx>
          <c:layout>
            <c:manualLayout>
              <c:xMode val="edge"/>
              <c:yMode val="edge"/>
              <c:x val="0.96160307175426"/>
              <c:y val="0.3748687664042"/>
            </c:manualLayout>
          </c:layout>
          <c:overlay val="0"/>
          <c:spPr>
            <a:noFill/>
            <a:ln>
              <a:noFill/>
            </a:ln>
            <a:effectLst/>
          </c:spPr>
        </c:title>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59069712"/>
        <c:crosses val="max"/>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manualLayout>
          <c:xMode val="edge"/>
          <c:yMode val="edge"/>
          <c:x val="0.227525855210819"/>
          <c:y val="0.906544811320755"/>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F48C3-F406-4754-A31F-01EB1E66D3B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4907</Words>
  <Characters>27971</Characters>
  <Lines>233</Lines>
  <Paragraphs>65</Paragraphs>
  <TotalTime>9</TotalTime>
  <ScaleCrop>false</ScaleCrop>
  <LinksUpToDate>false</LinksUpToDate>
  <CharactersWithSpaces>32813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2022-09-29T14:11:00Z</dcterms:created>
  <dc:creator>ZTE</dc:creator>
  <cp:lastModifiedBy>ZTE</cp:lastModifiedBy>
  <dcterms:modified xsi:type="dcterms:W3CDTF">2022-09-30T18:20:06Z</dcterms:modified>
  <dc:title>Discussion Summary #2 for energy saving techniques of NW energy saving SI.</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